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CA5DB">
      <w:pPr>
        <w:tabs>
          <w:tab w:val="left" w:pos="7572"/>
        </w:tabs>
        <w:spacing w:line="360" w:lineRule="exact"/>
        <w:jc w:val="left"/>
        <w:rPr>
          <w:b/>
          <w:sz w:val="30"/>
        </w:rPr>
      </w:pPr>
    </w:p>
    <w:p w14:paraId="15555F39">
      <w:pPr>
        <w:pStyle w:val="9"/>
        <w:spacing w:line="0" w:lineRule="atLeast"/>
        <w:jc w:val="center"/>
        <w:outlineLvl w:val="0"/>
        <w:rPr>
          <w:b/>
          <w:sz w:val="72"/>
          <w:szCs w:val="72"/>
        </w:rPr>
      </w:pPr>
    </w:p>
    <w:p w14:paraId="3BE5047A">
      <w:pPr>
        <w:pStyle w:val="9"/>
        <w:spacing w:line="0" w:lineRule="atLeast"/>
        <w:jc w:val="center"/>
        <w:outlineLvl w:val="0"/>
        <w:rPr>
          <w:b/>
          <w:sz w:val="72"/>
          <w:szCs w:val="72"/>
        </w:rPr>
      </w:pPr>
    </w:p>
    <w:p w14:paraId="091330BB">
      <w:pPr>
        <w:pStyle w:val="9"/>
        <w:spacing w:line="0" w:lineRule="atLeast"/>
        <w:jc w:val="center"/>
        <w:outlineLvl w:val="0"/>
        <w:rPr>
          <w:b/>
          <w:sz w:val="72"/>
          <w:szCs w:val="72"/>
        </w:rPr>
      </w:pPr>
    </w:p>
    <w:p w14:paraId="4F02E738">
      <w:pPr>
        <w:pStyle w:val="9"/>
        <w:spacing w:line="0" w:lineRule="atLeast"/>
        <w:jc w:val="center"/>
        <w:outlineLvl w:val="0"/>
      </w:pPr>
      <w:bookmarkStart w:id="0" w:name="_Toc28059"/>
      <w:bookmarkStart w:id="1" w:name="_Toc14647"/>
      <w:bookmarkStart w:id="2" w:name="_Toc6698"/>
      <w:bookmarkStart w:id="3" w:name="_Toc3150"/>
      <w:bookmarkStart w:id="4" w:name="_Toc1"/>
      <w:bookmarkStart w:id="5" w:name="_Toc25904"/>
      <w:bookmarkStart w:id="6" w:name="_Toc29595"/>
      <w:bookmarkStart w:id="7" w:name="_Toc12986"/>
      <w:bookmarkStart w:id="8" w:name="_Toc11770"/>
      <w:bookmarkStart w:id="9" w:name="_Toc7489"/>
      <w:bookmarkStart w:id="10" w:name="_Toc110"/>
      <w:bookmarkStart w:id="11" w:name="_Toc27428"/>
      <w:bookmarkStart w:id="12" w:name="_Toc25518"/>
      <w:bookmarkStart w:id="13" w:name="_Toc23242"/>
      <w:bookmarkStart w:id="14" w:name="_Toc6414"/>
      <w:bookmarkStart w:id="15" w:name="_Toc2639"/>
      <w:bookmarkStart w:id="16" w:name="_Toc19495"/>
      <w:bookmarkStart w:id="17" w:name="_Toc2521"/>
      <w:bookmarkStart w:id="18" w:name="_Toc18979"/>
      <w:r>
        <w:rPr>
          <w:rFonts w:hint="eastAsia"/>
          <w:b/>
          <w:sz w:val="72"/>
          <w:szCs w:val="72"/>
        </w:rPr>
        <w:t>招 募</w:t>
      </w:r>
      <w:r>
        <w:rPr>
          <w:rFonts w:ascii="Times New Roman" w:hAnsi="Times New Roman"/>
          <w:b/>
          <w:sz w:val="72"/>
          <w:szCs w:val="72"/>
        </w:rPr>
        <w:t xml:space="preserve"> </w:t>
      </w:r>
      <w:r>
        <w:rPr>
          <w:rFonts w:hint="eastAsia"/>
          <w:b/>
          <w:sz w:val="72"/>
          <w:szCs w:val="72"/>
        </w:rPr>
        <w:t>文</w:t>
      </w:r>
      <w:r>
        <w:rPr>
          <w:rFonts w:ascii="Times New Roman" w:hAnsi="Times New Roman"/>
          <w:b/>
          <w:sz w:val="72"/>
          <w:szCs w:val="72"/>
        </w:rPr>
        <w:t xml:space="preserve"> </w:t>
      </w:r>
      <w:r>
        <w:rPr>
          <w:rFonts w:hint="eastAsia"/>
          <w:b/>
          <w:sz w:val="72"/>
          <w:szCs w:val="72"/>
        </w:rPr>
        <w:t>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3F5FE8E">
      <w:pPr>
        <w:pStyle w:val="9"/>
        <w:spacing w:line="0" w:lineRule="atLeast"/>
        <w:jc w:val="center"/>
        <w:outlineLvl w:val="0"/>
      </w:pPr>
      <w:r>
        <w:rPr>
          <w:rFonts w:ascii="Times New Roman" w:hAnsi="Times New Roman"/>
          <w:b/>
          <w:sz w:val="72"/>
          <w:szCs w:val="72"/>
        </w:rPr>
        <w:t xml:space="preserve"> </w:t>
      </w:r>
    </w:p>
    <w:p w14:paraId="3B033254">
      <w:pPr>
        <w:pStyle w:val="9"/>
        <w:spacing w:line="0" w:lineRule="atLeast"/>
        <w:jc w:val="center"/>
        <w:outlineLvl w:val="0"/>
        <w:rPr>
          <w:rFonts w:ascii="Times New Roman" w:hAnsi="Times New Roman"/>
          <w:b/>
          <w:sz w:val="72"/>
          <w:szCs w:val="72"/>
        </w:rPr>
      </w:pPr>
      <w:r>
        <w:rPr>
          <w:rFonts w:ascii="Times New Roman" w:hAnsi="Times New Roman"/>
          <w:b/>
          <w:sz w:val="72"/>
          <w:szCs w:val="72"/>
        </w:rPr>
        <w:t xml:space="preserve"> </w:t>
      </w:r>
    </w:p>
    <w:p w14:paraId="670311C6">
      <w:pPr>
        <w:rPr>
          <w:rFonts w:ascii="Times New Roman" w:hAnsi="Times New Roman" w:eastAsia="宋体"/>
          <w:b/>
          <w:kern w:val="0"/>
          <w:sz w:val="72"/>
          <w:szCs w:val="72"/>
        </w:rPr>
      </w:pPr>
    </w:p>
    <w:p w14:paraId="34B5CD76">
      <w:pPr>
        <w:rPr>
          <w:rFonts w:ascii="Times New Roman" w:hAnsi="Times New Roman" w:eastAsia="宋体"/>
          <w:b/>
          <w:kern w:val="0"/>
          <w:sz w:val="72"/>
          <w:szCs w:val="72"/>
        </w:rPr>
      </w:pPr>
    </w:p>
    <w:p w14:paraId="00DDD2AE">
      <w:pPr>
        <w:spacing w:line="620" w:lineRule="exact"/>
        <w:jc w:val="center"/>
        <w:rPr>
          <w:rFonts w:asciiTheme="minorEastAsia" w:hAnsiTheme="minorEastAsia" w:cstheme="minorEastAsia"/>
          <w:b/>
          <w:bCs/>
          <w:sz w:val="32"/>
          <w:szCs w:val="32"/>
          <w:highlight w:val="yellow"/>
        </w:rPr>
      </w:pPr>
      <w:r>
        <w:rPr>
          <w:rFonts w:hint="eastAsia" w:asciiTheme="minorEastAsia" w:hAnsiTheme="minorEastAsia" w:cstheme="minorEastAsia"/>
          <w:b/>
          <w:bCs/>
          <w:sz w:val="32"/>
          <w:szCs w:val="32"/>
        </w:rPr>
        <w:t>项目名称：2026年度智融宣传服务合作伙伴招募</w:t>
      </w:r>
    </w:p>
    <w:p w14:paraId="2E08FFA2">
      <w:pPr>
        <w:pStyle w:val="9"/>
        <w:spacing w:line="0" w:lineRule="atLeast"/>
        <w:jc w:val="center"/>
        <w:outlineLvl w:val="0"/>
      </w:pPr>
      <w:r>
        <w:rPr>
          <w:rFonts w:ascii="Times New Roman" w:hAnsi="Times New Roman"/>
          <w:b/>
          <w:color w:val="0000FF"/>
          <w:sz w:val="72"/>
          <w:szCs w:val="72"/>
        </w:rPr>
        <w:t xml:space="preserve"> </w:t>
      </w:r>
    </w:p>
    <w:p w14:paraId="3C96F2C9">
      <w:pPr>
        <w:pStyle w:val="9"/>
        <w:spacing w:line="0" w:lineRule="atLeast"/>
        <w:jc w:val="center"/>
        <w:outlineLvl w:val="0"/>
        <w:rPr>
          <w:highlight w:val="yellow"/>
        </w:rPr>
      </w:pPr>
      <w:r>
        <w:rPr>
          <w:rFonts w:ascii="Times New Roman" w:hAnsi="Times New Roman"/>
          <w:b/>
          <w:color w:val="0000FF"/>
          <w:sz w:val="72"/>
          <w:szCs w:val="72"/>
        </w:rPr>
        <w:t xml:space="preserve"> </w:t>
      </w:r>
      <w:bookmarkStart w:id="19" w:name="_Toc12534"/>
      <w:bookmarkStart w:id="20" w:name="_Toc2152"/>
      <w:bookmarkStart w:id="21" w:name="_Toc10676"/>
      <w:bookmarkStart w:id="22" w:name="_Toc31407"/>
      <w:bookmarkStart w:id="23" w:name="_Toc1206"/>
      <w:bookmarkStart w:id="24" w:name="_Toc16356"/>
      <w:bookmarkStart w:id="25" w:name="_Toc596"/>
      <w:bookmarkStart w:id="26" w:name="_Toc11488"/>
      <w:bookmarkStart w:id="27" w:name="_Toc194"/>
      <w:bookmarkStart w:id="28" w:name="_Toc2116"/>
      <w:bookmarkStart w:id="29" w:name="_Toc28797"/>
      <w:bookmarkStart w:id="30" w:name="_Toc4080"/>
      <w:bookmarkStart w:id="31" w:name="_Toc13972"/>
      <w:bookmarkStart w:id="32" w:name="_Toc66"/>
      <w:bookmarkStart w:id="33" w:name="_Toc440"/>
      <w:bookmarkStart w:id="34" w:name="_Toc10198"/>
      <w:bookmarkStart w:id="35" w:name="_Toc28968"/>
      <w:bookmarkStart w:id="36" w:name="_Toc11309"/>
      <w:bookmarkStart w:id="37" w:name="_Toc26392"/>
      <w:r>
        <w:rPr>
          <w:rFonts w:hAnsi="宋体"/>
          <w:b/>
          <w:sz w:val="32"/>
          <w:szCs w:val="32"/>
        </w:rPr>
        <w:t>（</w:t>
      </w:r>
      <w:r>
        <w:rPr>
          <w:rFonts w:hint="eastAsia" w:hAnsi="宋体"/>
          <w:b/>
          <w:sz w:val="32"/>
          <w:szCs w:val="32"/>
        </w:rPr>
        <w:t>招募</w:t>
      </w:r>
      <w:r>
        <w:rPr>
          <w:rFonts w:hAnsi="宋体"/>
          <w:b/>
          <w:sz w:val="32"/>
          <w:szCs w:val="32"/>
        </w:rPr>
        <w:t>编号：</w:t>
      </w:r>
      <w:r>
        <w:rPr>
          <w:rFonts w:hint="eastAsia"/>
          <w:b/>
          <w:sz w:val="32"/>
          <w:szCs w:val="32"/>
        </w:rPr>
        <w:t>GWRK</w:t>
      </w:r>
      <w:r>
        <w:rPr>
          <w:b/>
          <w:sz w:val="32"/>
          <w:szCs w:val="32"/>
        </w:rPr>
        <w:t>20</w:t>
      </w:r>
      <w:r>
        <w:rPr>
          <w:rFonts w:hint="eastAsia"/>
          <w:b/>
          <w:sz w:val="32"/>
          <w:szCs w:val="32"/>
        </w:rPr>
        <w:t>25</w:t>
      </w:r>
      <w:r>
        <w:rPr>
          <w:b/>
          <w:sz w:val="32"/>
          <w:szCs w:val="32"/>
        </w:rPr>
        <w:t>-</w:t>
      </w:r>
      <w:r>
        <w:rPr>
          <w:rFonts w:hint="eastAsia"/>
          <w:b/>
          <w:sz w:val="32"/>
          <w:szCs w:val="32"/>
        </w:rPr>
        <w:t xml:space="preserve">  </w:t>
      </w:r>
      <w:r>
        <w:rPr>
          <w:b/>
          <w:sz w:val="32"/>
          <w:szCs w:val="32"/>
        </w:rPr>
        <w:t>-</w:t>
      </w:r>
      <w:r>
        <w:rPr>
          <w:rFonts w:hint="eastAsia"/>
          <w:b/>
          <w:sz w:val="32"/>
          <w:szCs w:val="32"/>
        </w:rPr>
        <w:t xml:space="preserve">  </w:t>
      </w:r>
      <w:r>
        <w:rPr>
          <w:rFonts w:hAnsi="宋体"/>
          <w:b/>
          <w:sz w:val="32"/>
          <w:szCs w:val="3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FADD4FA">
      <w:pPr>
        <w:spacing w:line="520" w:lineRule="exact"/>
        <w:jc w:val="center"/>
        <w:rPr>
          <w:rFonts w:ascii="Times New Roman" w:hAnsi="Times New Roman" w:eastAsia="宋体"/>
          <w:szCs w:val="21"/>
        </w:rPr>
      </w:pPr>
      <w:r>
        <w:rPr>
          <w:rFonts w:hint="eastAsia" w:ascii="宋体" w:eastAsia="宋体" w:cs="仿宋_GB2312"/>
          <w:b/>
          <w:kern w:val="0"/>
          <w:sz w:val="32"/>
          <w:szCs w:val="32"/>
        </w:rPr>
        <w:t xml:space="preserve"> </w:t>
      </w:r>
    </w:p>
    <w:p w14:paraId="7A0D13BB">
      <w:pPr>
        <w:spacing w:line="520" w:lineRule="exact"/>
        <w:jc w:val="center"/>
        <w:rPr>
          <w:rFonts w:ascii="宋体" w:eastAsia="宋体" w:cs="仿宋_GB2312"/>
          <w:b/>
          <w:kern w:val="0"/>
          <w:sz w:val="32"/>
          <w:szCs w:val="32"/>
        </w:rPr>
      </w:pPr>
      <w:r>
        <w:rPr>
          <w:rFonts w:hint="eastAsia" w:ascii="宋体" w:eastAsia="宋体" w:cs="仿宋_GB2312"/>
          <w:b/>
          <w:kern w:val="0"/>
          <w:sz w:val="32"/>
          <w:szCs w:val="32"/>
        </w:rPr>
        <w:t xml:space="preserve"> </w:t>
      </w:r>
    </w:p>
    <w:p w14:paraId="61310159">
      <w:pPr>
        <w:spacing w:line="520" w:lineRule="exact"/>
        <w:jc w:val="center"/>
        <w:rPr>
          <w:rFonts w:ascii="宋体" w:eastAsia="宋体" w:cs="仿宋_GB2312"/>
          <w:b/>
          <w:kern w:val="0"/>
          <w:sz w:val="32"/>
          <w:szCs w:val="32"/>
        </w:rPr>
      </w:pPr>
    </w:p>
    <w:p w14:paraId="2EF2868C">
      <w:pPr>
        <w:spacing w:line="520" w:lineRule="exact"/>
        <w:jc w:val="center"/>
        <w:rPr>
          <w:rFonts w:ascii="Times New Roman" w:hAnsi="Times New Roman" w:eastAsia="宋体"/>
          <w:szCs w:val="21"/>
        </w:rPr>
      </w:pPr>
      <w:r>
        <w:rPr>
          <w:rFonts w:hint="eastAsia" w:ascii="宋体" w:eastAsia="宋体" w:cs="仿宋_GB2312"/>
          <w:b/>
          <w:kern w:val="0"/>
          <w:sz w:val="32"/>
          <w:szCs w:val="32"/>
        </w:rPr>
        <w:t xml:space="preserve"> </w:t>
      </w:r>
    </w:p>
    <w:p w14:paraId="30A38A54">
      <w:pPr>
        <w:spacing w:line="520" w:lineRule="exact"/>
        <w:jc w:val="center"/>
        <w:rPr>
          <w:rFonts w:ascii="宋体" w:eastAsia="宋体" w:cs="仿宋_GB2312"/>
          <w:b/>
          <w:kern w:val="0"/>
          <w:sz w:val="32"/>
          <w:szCs w:val="32"/>
        </w:rPr>
      </w:pPr>
      <w:r>
        <w:rPr>
          <w:rFonts w:hint="eastAsia" w:ascii="宋体" w:eastAsia="宋体" w:cs="仿宋_GB2312"/>
          <w:b/>
          <w:kern w:val="0"/>
          <w:sz w:val="32"/>
          <w:szCs w:val="32"/>
        </w:rPr>
        <w:t>招募人：福建广电网络融媒体科技有限责任公司</w:t>
      </w:r>
    </w:p>
    <w:p w14:paraId="73892B6C">
      <w:pPr>
        <w:spacing w:line="520" w:lineRule="exact"/>
        <w:jc w:val="center"/>
        <w:rPr>
          <w:rFonts w:ascii="宋体" w:eastAsia="宋体" w:cs="仿宋_GB2312"/>
          <w:b/>
          <w:kern w:val="0"/>
          <w:sz w:val="32"/>
          <w:szCs w:val="32"/>
        </w:rPr>
      </w:pPr>
    </w:p>
    <w:p w14:paraId="6A37F7C1">
      <w:pPr>
        <w:tabs>
          <w:tab w:val="left" w:pos="7572"/>
        </w:tabs>
        <w:spacing w:line="360" w:lineRule="exact"/>
        <w:jc w:val="center"/>
        <w:rPr>
          <w:rFonts w:ascii="宋体" w:eastAsia="宋体"/>
          <w:b/>
          <w:kern w:val="0"/>
          <w:sz w:val="30"/>
          <w:szCs w:val="30"/>
        </w:rPr>
      </w:pPr>
      <w:r>
        <w:rPr>
          <w:rFonts w:hint="eastAsia" w:ascii="宋体" w:eastAsia="宋体"/>
          <w:b/>
          <w:kern w:val="0"/>
          <w:sz w:val="30"/>
          <w:szCs w:val="30"/>
        </w:rPr>
        <w:t>二零二五年十二月</w:t>
      </w:r>
    </w:p>
    <w:p w14:paraId="12DF75A6">
      <w:pPr>
        <w:tabs>
          <w:tab w:val="left" w:pos="7572"/>
        </w:tabs>
        <w:spacing w:line="360" w:lineRule="exact"/>
        <w:jc w:val="center"/>
        <w:rPr>
          <w:rFonts w:ascii="宋体" w:eastAsia="宋体"/>
          <w:b/>
          <w:kern w:val="0"/>
          <w:sz w:val="30"/>
          <w:szCs w:val="30"/>
        </w:rPr>
      </w:pPr>
    </w:p>
    <w:p w14:paraId="576F45E6">
      <w:pPr>
        <w:tabs>
          <w:tab w:val="left" w:pos="7572"/>
        </w:tabs>
        <w:spacing w:line="360" w:lineRule="exact"/>
        <w:jc w:val="center"/>
        <w:rPr>
          <w:rFonts w:ascii="宋体" w:eastAsia="宋体"/>
          <w:b/>
          <w:kern w:val="0"/>
          <w:sz w:val="30"/>
          <w:szCs w:val="30"/>
        </w:rPr>
      </w:pPr>
    </w:p>
    <w:p w14:paraId="7CE3A805">
      <w:pPr>
        <w:tabs>
          <w:tab w:val="left" w:pos="7572"/>
        </w:tabs>
        <w:spacing w:line="360" w:lineRule="exact"/>
        <w:jc w:val="center"/>
        <w:rPr>
          <w:rFonts w:ascii="宋体" w:eastAsia="宋体"/>
          <w:b/>
          <w:kern w:val="0"/>
          <w:sz w:val="30"/>
          <w:szCs w:val="30"/>
        </w:rPr>
      </w:pPr>
    </w:p>
    <w:p w14:paraId="3846B254">
      <w:pPr>
        <w:tabs>
          <w:tab w:val="left" w:pos="7572"/>
        </w:tabs>
        <w:spacing w:line="360" w:lineRule="exact"/>
        <w:rPr>
          <w:rFonts w:ascii="宋体" w:eastAsia="宋体"/>
          <w:b/>
          <w:kern w:val="0"/>
          <w:sz w:val="30"/>
          <w:szCs w:val="30"/>
        </w:rPr>
      </w:pPr>
    </w:p>
    <w:p w14:paraId="373CBBA5">
      <w:pPr>
        <w:spacing w:line="400" w:lineRule="exact"/>
        <w:jc w:val="center"/>
        <w:rPr>
          <w:rFonts w:asciiTheme="minorEastAsia" w:hAnsiTheme="minorEastAsia" w:cstheme="minorEastAsia"/>
          <w:b/>
          <w:sz w:val="32"/>
          <w:szCs w:val="32"/>
        </w:rPr>
      </w:pPr>
    </w:p>
    <w:p w14:paraId="71C371FD">
      <w:pPr>
        <w:spacing w:line="4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目录</w:t>
      </w:r>
    </w:p>
    <w:p w14:paraId="4514788E">
      <w:pPr>
        <w:pStyle w:val="14"/>
        <w:tabs>
          <w:tab w:val="right" w:leader="dot" w:pos="8306"/>
        </w:tabs>
      </w:pPr>
      <w:r>
        <w:rPr>
          <w:rFonts w:hint="eastAsia" w:asciiTheme="minorEastAsia" w:hAnsiTheme="minorEastAsia" w:cstheme="minorEastAsia"/>
          <w:b/>
          <w:sz w:val="24"/>
        </w:rPr>
        <w:fldChar w:fldCharType="begin"/>
      </w:r>
      <w:r>
        <w:rPr>
          <w:rFonts w:hint="eastAsia" w:asciiTheme="minorEastAsia" w:hAnsiTheme="minorEastAsia" w:cstheme="minorEastAsia"/>
          <w:b/>
          <w:sz w:val="24"/>
        </w:rPr>
        <w:instrText xml:space="preserve"> TOC \o "1-4" \h \z \u </w:instrText>
      </w:r>
      <w:r>
        <w:rPr>
          <w:rFonts w:hint="eastAsia" w:asciiTheme="minorEastAsia" w:hAnsiTheme="minorEastAsia" w:cstheme="minorEastAsia"/>
          <w:b/>
          <w:sz w:val="24"/>
        </w:rPr>
        <w:fldChar w:fldCharType="separate"/>
      </w:r>
    </w:p>
    <w:p w14:paraId="02E85A06">
      <w:pPr>
        <w:pStyle w:val="14"/>
        <w:tabs>
          <w:tab w:val="right" w:leader="dot" w:pos="8306"/>
        </w:tabs>
      </w:pPr>
      <w:r>
        <w:fldChar w:fldCharType="begin"/>
      </w:r>
      <w:r>
        <w:instrText xml:space="preserve"> HYPERLINK \l "_Toc22648" </w:instrText>
      </w:r>
      <w:r>
        <w:fldChar w:fldCharType="separate"/>
      </w:r>
      <w:r>
        <w:rPr>
          <w:rFonts w:hint="eastAsia" w:ascii="宋体" w:cs="宋体"/>
        </w:rPr>
        <w:t>第一部分 招募邀请</w:t>
      </w:r>
      <w:r>
        <w:tab/>
      </w:r>
      <w:r>
        <w:fldChar w:fldCharType="begin"/>
      </w:r>
      <w:r>
        <w:instrText xml:space="preserve"> PAGEREF _Toc22648 \h </w:instrText>
      </w:r>
      <w:r>
        <w:fldChar w:fldCharType="separate"/>
      </w:r>
      <w:r>
        <w:t>2</w:t>
      </w:r>
      <w:r>
        <w:fldChar w:fldCharType="end"/>
      </w:r>
      <w:r>
        <w:fldChar w:fldCharType="end"/>
      </w:r>
    </w:p>
    <w:p w14:paraId="01B69444">
      <w:pPr>
        <w:pStyle w:val="14"/>
        <w:tabs>
          <w:tab w:val="right" w:leader="dot" w:pos="8306"/>
        </w:tabs>
      </w:pPr>
      <w:r>
        <w:fldChar w:fldCharType="begin"/>
      </w:r>
      <w:r>
        <w:instrText xml:space="preserve"> HYPERLINK \l "_Toc5108" </w:instrText>
      </w:r>
      <w:r>
        <w:fldChar w:fldCharType="separate"/>
      </w:r>
      <w:r>
        <w:rPr>
          <w:rFonts w:hint="eastAsia" w:ascii="宋体" w:cs="宋体"/>
        </w:rPr>
        <w:t>第二部分 合作方须知</w:t>
      </w:r>
      <w:r>
        <w:tab/>
      </w:r>
      <w:r>
        <w:fldChar w:fldCharType="begin"/>
      </w:r>
      <w:r>
        <w:instrText xml:space="preserve"> PAGEREF _Toc5108 \h </w:instrText>
      </w:r>
      <w:r>
        <w:fldChar w:fldCharType="separate"/>
      </w:r>
      <w:r>
        <w:t>3</w:t>
      </w:r>
      <w:r>
        <w:fldChar w:fldCharType="end"/>
      </w:r>
      <w:r>
        <w:fldChar w:fldCharType="end"/>
      </w:r>
    </w:p>
    <w:p w14:paraId="2CFBDDEB">
      <w:pPr>
        <w:pStyle w:val="14"/>
        <w:tabs>
          <w:tab w:val="right" w:leader="dot" w:pos="8306"/>
        </w:tabs>
      </w:pPr>
      <w:r>
        <w:fldChar w:fldCharType="begin"/>
      </w:r>
      <w:r>
        <w:instrText xml:space="preserve"> HYPERLINK \l "_Toc13351" </w:instrText>
      </w:r>
      <w:r>
        <w:fldChar w:fldCharType="separate"/>
      </w:r>
      <w:r>
        <w:rPr>
          <w:rFonts w:hint="eastAsia" w:ascii="宋体" w:cs="宋体"/>
        </w:rPr>
        <w:t>第三部分 招募内容及要求</w:t>
      </w:r>
      <w:r>
        <w:tab/>
      </w:r>
      <w:r>
        <w:fldChar w:fldCharType="begin"/>
      </w:r>
      <w:r>
        <w:instrText xml:space="preserve"> PAGEREF _Toc13351 \h </w:instrText>
      </w:r>
      <w:r>
        <w:fldChar w:fldCharType="separate"/>
      </w:r>
      <w:r>
        <w:t>12</w:t>
      </w:r>
      <w:r>
        <w:fldChar w:fldCharType="end"/>
      </w:r>
      <w:r>
        <w:fldChar w:fldCharType="end"/>
      </w:r>
    </w:p>
    <w:p w14:paraId="2572F353">
      <w:pPr>
        <w:pStyle w:val="14"/>
        <w:tabs>
          <w:tab w:val="right" w:leader="dot" w:pos="8306"/>
        </w:tabs>
      </w:pPr>
      <w:r>
        <w:fldChar w:fldCharType="begin"/>
      </w:r>
      <w:r>
        <w:instrText xml:space="preserve"> HYPERLINK \l "_Toc24965" </w:instrText>
      </w:r>
      <w:r>
        <w:fldChar w:fldCharType="separate"/>
      </w:r>
      <w:r>
        <w:rPr>
          <w:rFonts w:hint="eastAsia" w:ascii="宋体" w:hAnsi="Times New Roman" w:eastAsia="宋体" w:cs="Times New Roman"/>
          <w:szCs w:val="36"/>
        </w:rPr>
        <w:t xml:space="preserve">第四部分 </w:t>
      </w:r>
      <w:r>
        <w:rPr>
          <w:rFonts w:hint="eastAsia" w:ascii="宋体" w:cs="Times New Roman"/>
          <w:szCs w:val="36"/>
        </w:rPr>
        <w:t>招募</w:t>
      </w:r>
      <w:r>
        <w:rPr>
          <w:rFonts w:hint="eastAsia" w:ascii="宋体" w:hAnsi="Times New Roman" w:eastAsia="宋体" w:cs="Times New Roman"/>
          <w:szCs w:val="36"/>
        </w:rPr>
        <w:t>合同（参考文本）</w:t>
      </w:r>
      <w:r>
        <w:tab/>
      </w:r>
      <w:r>
        <w:fldChar w:fldCharType="begin"/>
      </w:r>
      <w:r>
        <w:instrText xml:space="preserve"> PAGEREF _Toc24965 \h </w:instrText>
      </w:r>
      <w:r>
        <w:fldChar w:fldCharType="separate"/>
      </w:r>
      <w:r>
        <w:t>13</w:t>
      </w:r>
      <w:r>
        <w:fldChar w:fldCharType="end"/>
      </w:r>
      <w:r>
        <w:fldChar w:fldCharType="end"/>
      </w:r>
    </w:p>
    <w:p w14:paraId="16161F5E">
      <w:pPr>
        <w:pStyle w:val="14"/>
        <w:tabs>
          <w:tab w:val="right" w:leader="dot" w:pos="8306"/>
        </w:tabs>
      </w:pPr>
      <w:r>
        <w:fldChar w:fldCharType="begin"/>
      </w:r>
      <w:r>
        <w:instrText xml:space="preserve"> HYPERLINK \l "_Toc4513" </w:instrText>
      </w:r>
      <w:r>
        <w:fldChar w:fldCharType="separate"/>
      </w:r>
      <w:r>
        <w:rPr>
          <w:rFonts w:hint="eastAsia" w:hAnsi="Times New Roman"/>
          <w:bCs/>
          <w:szCs w:val="36"/>
        </w:rPr>
        <w:t>第五部分 招募响应</w:t>
      </w:r>
      <w:r>
        <w:rPr>
          <w:rFonts w:hint="eastAsia"/>
          <w:bCs/>
          <w:szCs w:val="36"/>
        </w:rPr>
        <w:t>文件</w:t>
      </w:r>
      <w:r>
        <w:rPr>
          <w:rFonts w:hint="eastAsia" w:hAnsi="Times New Roman"/>
          <w:bCs/>
          <w:szCs w:val="36"/>
        </w:rPr>
        <w:t>（参考文本）</w:t>
      </w:r>
      <w:r>
        <w:tab/>
      </w:r>
      <w:r>
        <w:fldChar w:fldCharType="begin"/>
      </w:r>
      <w:r>
        <w:instrText xml:space="preserve"> PAGEREF _Toc4513 \h </w:instrText>
      </w:r>
      <w:r>
        <w:fldChar w:fldCharType="separate"/>
      </w:r>
      <w:r>
        <w:t>23</w:t>
      </w:r>
      <w:r>
        <w:fldChar w:fldCharType="end"/>
      </w:r>
      <w:r>
        <w:fldChar w:fldCharType="end"/>
      </w:r>
    </w:p>
    <w:p w14:paraId="07AD882B">
      <w:pPr>
        <w:spacing w:line="400" w:lineRule="exact"/>
        <w:jc w:val="center"/>
        <w:rPr>
          <w:rFonts w:ascii="宋体" w:hAnsi="宋体"/>
          <w:sz w:val="24"/>
          <w:highlight w:val="yellow"/>
        </w:rPr>
      </w:pPr>
      <w:r>
        <w:rPr>
          <w:rFonts w:hint="eastAsia" w:asciiTheme="minorEastAsia" w:hAnsiTheme="minorEastAsia" w:cstheme="minorEastAsia"/>
        </w:rPr>
        <w:fldChar w:fldCharType="end"/>
      </w:r>
    </w:p>
    <w:p w14:paraId="4366C115">
      <w:pPr>
        <w:spacing w:line="400" w:lineRule="exact"/>
        <w:ind w:firstLine="570"/>
      </w:pPr>
    </w:p>
    <w:p w14:paraId="54F5FDD1">
      <w:pPr>
        <w:spacing w:line="400" w:lineRule="exact"/>
        <w:ind w:firstLine="570"/>
      </w:pPr>
    </w:p>
    <w:p w14:paraId="7729C9EA">
      <w:pPr>
        <w:spacing w:line="400" w:lineRule="exact"/>
        <w:ind w:firstLine="570"/>
      </w:pPr>
    </w:p>
    <w:p w14:paraId="064CC744">
      <w:pPr>
        <w:spacing w:line="400" w:lineRule="exact"/>
        <w:ind w:firstLine="570"/>
      </w:pPr>
    </w:p>
    <w:p w14:paraId="3278FF3C">
      <w:pPr>
        <w:spacing w:line="400" w:lineRule="exact"/>
        <w:ind w:firstLine="570"/>
      </w:pPr>
    </w:p>
    <w:p w14:paraId="10B15B63">
      <w:pPr>
        <w:spacing w:line="400" w:lineRule="exact"/>
        <w:ind w:firstLine="570"/>
      </w:pPr>
    </w:p>
    <w:p w14:paraId="497CFD19">
      <w:pPr>
        <w:spacing w:line="400" w:lineRule="exact"/>
        <w:ind w:firstLine="570"/>
      </w:pPr>
    </w:p>
    <w:p w14:paraId="640B2FB4">
      <w:pPr>
        <w:spacing w:line="400" w:lineRule="exact"/>
        <w:ind w:firstLine="570"/>
      </w:pPr>
    </w:p>
    <w:p w14:paraId="4712EFBF">
      <w:pPr>
        <w:spacing w:line="400" w:lineRule="exact"/>
        <w:ind w:firstLine="570"/>
      </w:pPr>
    </w:p>
    <w:p w14:paraId="41C0E8F6">
      <w:pPr>
        <w:spacing w:line="400" w:lineRule="exact"/>
        <w:ind w:firstLine="570"/>
      </w:pPr>
    </w:p>
    <w:p w14:paraId="24242D0B">
      <w:pPr>
        <w:spacing w:line="400" w:lineRule="exact"/>
        <w:ind w:firstLine="570"/>
      </w:pPr>
    </w:p>
    <w:p w14:paraId="71BBE8D8">
      <w:pPr>
        <w:spacing w:line="400" w:lineRule="exact"/>
        <w:ind w:firstLine="570"/>
      </w:pPr>
    </w:p>
    <w:p w14:paraId="4AAE3C81">
      <w:pPr>
        <w:pStyle w:val="4"/>
      </w:pPr>
    </w:p>
    <w:p w14:paraId="080B483F"/>
    <w:p w14:paraId="0137DA20">
      <w:pPr>
        <w:pStyle w:val="4"/>
      </w:pPr>
    </w:p>
    <w:p w14:paraId="2E93036E"/>
    <w:p w14:paraId="0615B883"/>
    <w:p w14:paraId="62B3F64A"/>
    <w:p w14:paraId="01CBD3CA"/>
    <w:p w14:paraId="697D28D5"/>
    <w:p w14:paraId="0D545154"/>
    <w:p w14:paraId="24E7318A"/>
    <w:p w14:paraId="542F85D3"/>
    <w:p w14:paraId="74AA5283"/>
    <w:p w14:paraId="04426C74"/>
    <w:p w14:paraId="5F7BF48A">
      <w:pPr>
        <w:widowControl/>
        <w:rPr>
          <w:rFonts w:ascii="宋体" w:eastAsia="宋体"/>
          <w:b/>
          <w:bCs/>
          <w:sz w:val="36"/>
          <w:szCs w:val="36"/>
        </w:rPr>
      </w:pPr>
    </w:p>
    <w:p w14:paraId="39386A35">
      <w:pPr>
        <w:tabs>
          <w:tab w:val="left" w:pos="0"/>
        </w:tabs>
        <w:jc w:val="center"/>
        <w:outlineLvl w:val="0"/>
        <w:rPr>
          <w:rFonts w:ascii="宋体" w:eastAsia="宋体"/>
          <w:b/>
          <w:bCs/>
          <w:sz w:val="36"/>
          <w:szCs w:val="36"/>
        </w:rPr>
      </w:pPr>
      <w:bookmarkStart w:id="38" w:name="_Toc22648"/>
      <w:r>
        <w:rPr>
          <w:rFonts w:hint="eastAsia" w:ascii="宋体" w:cs="宋体"/>
          <w:b/>
          <w:sz w:val="36"/>
        </w:rPr>
        <w:t>第一部分  招募邀请</w:t>
      </w:r>
      <w:bookmarkEnd w:id="38"/>
    </w:p>
    <w:p w14:paraId="3EEDB121">
      <w:pPr>
        <w:widowControl/>
        <w:jc w:val="center"/>
        <w:rPr>
          <w:rFonts w:ascii="Times New Roman" w:hAnsi="Times New Roman" w:eastAsia="宋体"/>
          <w:szCs w:val="21"/>
        </w:rPr>
      </w:pPr>
      <w:r>
        <w:rPr>
          <w:rFonts w:hint="eastAsia" w:ascii="宋体" w:eastAsia="宋体"/>
          <w:kern w:val="0"/>
          <w:sz w:val="24"/>
        </w:rPr>
        <w:t xml:space="preserve"> </w:t>
      </w:r>
    </w:p>
    <w:p w14:paraId="23286DA5">
      <w:pPr>
        <w:spacing w:line="400" w:lineRule="exact"/>
        <w:ind w:firstLine="480" w:firstLineChars="200"/>
        <w:rPr>
          <w:rFonts w:ascii="宋体" w:eastAsia="宋体"/>
          <w:kern w:val="0"/>
          <w:sz w:val="24"/>
        </w:rPr>
      </w:pPr>
      <w:r>
        <w:rPr>
          <w:rFonts w:hint="eastAsia" w:ascii="宋体" w:eastAsia="宋体"/>
          <w:kern w:val="0"/>
          <w:sz w:val="24"/>
        </w:rPr>
        <w:t xml:space="preserve"> 福建广电网络融媒体科技有限责任公司项目：</w:t>
      </w:r>
      <w:r>
        <w:rPr>
          <w:rFonts w:hint="eastAsia" w:ascii="宋体" w:eastAsia="宋体"/>
          <w:kern w:val="0"/>
          <w:sz w:val="24"/>
          <w:u w:val="single"/>
        </w:rPr>
        <w:t>2026年度智融宣传服务合作伙伴招募</w:t>
      </w:r>
      <w:r>
        <w:rPr>
          <w:rFonts w:hint="eastAsia" w:ascii="宋体" w:eastAsia="宋体"/>
          <w:kern w:val="0"/>
          <w:sz w:val="24"/>
        </w:rPr>
        <w:t>，现欢迎国内合格合作方对该招募进行响应。</w:t>
      </w:r>
    </w:p>
    <w:p w14:paraId="103F494D">
      <w:pPr>
        <w:spacing w:line="400" w:lineRule="exact"/>
        <w:ind w:firstLine="480" w:firstLineChars="200"/>
        <w:rPr>
          <w:rFonts w:ascii="Times New Roman" w:hAnsi="Times New Roman" w:eastAsia="宋体"/>
          <w:szCs w:val="21"/>
        </w:rPr>
      </w:pPr>
      <w:r>
        <w:rPr>
          <w:rFonts w:hint="eastAsia" w:ascii="宋体" w:eastAsia="宋体"/>
          <w:sz w:val="24"/>
        </w:rPr>
        <w:t>1.</w:t>
      </w:r>
      <w:r>
        <w:rPr>
          <w:rFonts w:hint="eastAsia" w:ascii="宋体"/>
          <w:sz w:val="24"/>
        </w:rPr>
        <w:t>招募</w:t>
      </w:r>
      <w:r>
        <w:rPr>
          <w:rFonts w:hint="eastAsia" w:ascii="宋体" w:eastAsia="宋体"/>
          <w:sz w:val="24"/>
        </w:rPr>
        <w:t>内容：详见附件招募内容一览表</w:t>
      </w:r>
    </w:p>
    <w:p w14:paraId="350811EF">
      <w:pPr>
        <w:spacing w:line="400" w:lineRule="exact"/>
        <w:ind w:firstLine="480" w:firstLineChars="200"/>
        <w:rPr>
          <w:rFonts w:ascii="Times New Roman" w:hAnsi="Times New Roman" w:eastAsia="宋体"/>
          <w:szCs w:val="21"/>
        </w:rPr>
      </w:pPr>
      <w:r>
        <w:rPr>
          <w:rFonts w:hint="eastAsia" w:ascii="宋体" w:eastAsia="宋体"/>
          <w:sz w:val="24"/>
        </w:rPr>
        <w:t>2.凡愿意参加</w:t>
      </w:r>
      <w:r>
        <w:rPr>
          <w:rFonts w:hint="eastAsia" w:ascii="宋体"/>
          <w:kern w:val="0"/>
          <w:sz w:val="24"/>
        </w:rPr>
        <w:t>招募</w:t>
      </w:r>
      <w:r>
        <w:rPr>
          <w:rFonts w:hint="eastAsia" w:ascii="宋体" w:eastAsia="宋体"/>
          <w:sz w:val="24"/>
        </w:rPr>
        <w:t>的合作方请于</w:t>
      </w:r>
      <w:r>
        <w:rPr>
          <w:rFonts w:hint="eastAsia" w:ascii="宋体" w:eastAsia="宋体"/>
          <w:kern w:val="0"/>
          <w:sz w:val="24"/>
        </w:rPr>
        <w:t>2025年12月</w:t>
      </w:r>
      <w:r>
        <w:rPr>
          <w:rFonts w:hint="eastAsia" w:ascii="宋体" w:eastAsia="宋体"/>
          <w:kern w:val="0"/>
          <w:sz w:val="24"/>
          <w:lang w:val="en-US" w:eastAsia="zh-CN"/>
        </w:rPr>
        <w:t>19</w:t>
      </w:r>
      <w:r>
        <w:rPr>
          <w:rFonts w:hint="eastAsia" w:ascii="宋体" w:eastAsia="宋体"/>
          <w:kern w:val="0"/>
          <w:sz w:val="24"/>
        </w:rPr>
        <w:t>日起至2025年12月</w:t>
      </w:r>
      <w:r>
        <w:rPr>
          <w:rFonts w:hint="eastAsia" w:ascii="宋体" w:eastAsia="宋体"/>
          <w:kern w:val="0"/>
          <w:sz w:val="24"/>
          <w:lang w:val="en-US" w:eastAsia="zh-CN"/>
        </w:rPr>
        <w:t>25</w:t>
      </w:r>
      <w:r>
        <w:rPr>
          <w:rFonts w:hint="eastAsia" w:ascii="宋体" w:eastAsia="宋体"/>
          <w:kern w:val="0"/>
          <w:sz w:val="24"/>
        </w:rPr>
        <w:t>日止，每天上午9:0</w:t>
      </w:r>
      <w:r>
        <w:rPr>
          <w:rFonts w:hint="eastAsia" w:ascii="宋体" w:eastAsia="宋体"/>
          <w:sz w:val="24"/>
        </w:rPr>
        <w:t>0～12:00，下午15:00～17:00，邮件报名</w:t>
      </w:r>
      <w:r>
        <w:rPr>
          <w:rFonts w:hint="eastAsia" w:ascii="宋体"/>
          <w:sz w:val="24"/>
        </w:rPr>
        <w:t>、电话报名或现场报名</w:t>
      </w:r>
      <w:r>
        <w:rPr>
          <w:rFonts w:hint="eastAsia" w:ascii="宋体" w:eastAsia="宋体"/>
          <w:sz w:val="24"/>
        </w:rPr>
        <w:t>（其中</w:t>
      </w:r>
      <w:r>
        <w:rPr>
          <w:rFonts w:hint="eastAsia" w:ascii="宋体" w:eastAsia="宋体"/>
          <w:kern w:val="0"/>
          <w:sz w:val="24"/>
        </w:rPr>
        <w:t>12月</w:t>
      </w:r>
      <w:r>
        <w:rPr>
          <w:rFonts w:hint="eastAsia" w:ascii="宋体" w:eastAsia="宋体"/>
          <w:kern w:val="0"/>
          <w:sz w:val="24"/>
          <w:lang w:val="en-US" w:eastAsia="zh-CN"/>
        </w:rPr>
        <w:t>21</w:t>
      </w:r>
      <w:r>
        <w:rPr>
          <w:rFonts w:hint="eastAsia" w:ascii="宋体" w:eastAsia="宋体"/>
          <w:kern w:val="0"/>
          <w:sz w:val="24"/>
        </w:rPr>
        <w:t>日</w:t>
      </w:r>
      <w:r>
        <w:rPr>
          <w:rFonts w:hint="eastAsia" w:ascii="宋体"/>
          <w:sz w:val="24"/>
        </w:rPr>
        <w:t>下</w:t>
      </w:r>
      <w:r>
        <w:rPr>
          <w:rFonts w:hint="eastAsia" w:ascii="宋体" w:eastAsia="宋体"/>
          <w:sz w:val="24"/>
        </w:rPr>
        <w:t>午</w:t>
      </w:r>
      <w:r>
        <w:rPr>
          <w:rFonts w:hint="eastAsia" w:ascii="宋体"/>
          <w:sz w:val="24"/>
        </w:rPr>
        <w:t>17</w:t>
      </w:r>
      <w:r>
        <w:rPr>
          <w:rFonts w:hint="eastAsia" w:ascii="宋体" w:eastAsia="宋体"/>
          <w:sz w:val="24"/>
        </w:rPr>
        <w:t>:</w:t>
      </w:r>
      <w:r>
        <w:rPr>
          <w:rFonts w:hint="eastAsia" w:ascii="宋体"/>
          <w:sz w:val="24"/>
        </w:rPr>
        <w:t>0</w:t>
      </w:r>
      <w:r>
        <w:rPr>
          <w:rFonts w:hint="eastAsia" w:ascii="宋体" w:eastAsia="宋体"/>
          <w:sz w:val="24"/>
        </w:rPr>
        <w:t>0截止报名）。</w:t>
      </w:r>
    </w:p>
    <w:p w14:paraId="28B01F65">
      <w:pPr>
        <w:spacing w:line="440" w:lineRule="exact"/>
        <w:ind w:firstLine="480" w:firstLineChars="200"/>
        <w:rPr>
          <w:rFonts w:ascii="Times New Roman" w:hAnsi="Times New Roman" w:eastAsia="宋体"/>
          <w:szCs w:val="21"/>
        </w:rPr>
      </w:pPr>
      <w:r>
        <w:rPr>
          <w:rFonts w:hint="eastAsia" w:ascii="宋体" w:eastAsia="宋体"/>
          <w:sz w:val="24"/>
        </w:rPr>
        <w:t>4.招募响应文件应在</w:t>
      </w:r>
      <w:r>
        <w:rPr>
          <w:rFonts w:hint="eastAsia" w:ascii="宋体" w:eastAsia="宋体"/>
          <w:sz w:val="24"/>
          <w:u w:val="single"/>
          <w:lang w:val="en-US" w:eastAsia="zh-CN"/>
        </w:rPr>
        <w:t>2025年12月25日</w:t>
      </w:r>
      <w:r>
        <w:rPr>
          <w:rFonts w:hint="eastAsia" w:ascii="宋体" w:eastAsia="宋体"/>
          <w:spacing w:val="-8"/>
          <w:sz w:val="24"/>
          <w:u w:val="single"/>
        </w:rPr>
        <w:t>下</w:t>
      </w:r>
      <w:r>
        <w:rPr>
          <w:rFonts w:hint="eastAsia" w:ascii="宋体" w:eastAsia="宋体"/>
          <w:sz w:val="24"/>
          <w:u w:val="single"/>
        </w:rPr>
        <w:t>午17:</w:t>
      </w:r>
      <w:r>
        <w:rPr>
          <w:rFonts w:hint="eastAsia" w:ascii="宋体"/>
          <w:sz w:val="24"/>
          <w:u w:val="single"/>
        </w:rPr>
        <w:t>0</w:t>
      </w:r>
      <w:r>
        <w:rPr>
          <w:rFonts w:hint="eastAsia" w:ascii="宋体" w:eastAsia="宋体"/>
          <w:sz w:val="24"/>
          <w:u w:val="single"/>
        </w:rPr>
        <w:t>0</w:t>
      </w:r>
      <w:r>
        <w:rPr>
          <w:rFonts w:hint="eastAsia" w:ascii="宋体" w:eastAsia="宋体"/>
          <w:spacing w:val="-8"/>
          <w:sz w:val="24"/>
          <w:u w:val="single"/>
        </w:rPr>
        <w:t>（北京时间）</w:t>
      </w:r>
      <w:r>
        <w:rPr>
          <w:rFonts w:hint="eastAsia" w:ascii="宋体" w:eastAsia="宋体"/>
          <w:spacing w:val="-8"/>
          <w:sz w:val="24"/>
        </w:rPr>
        <w:t>前送至地址：福州市闽侯县上街镇科技东路1号中国冶金地质B楼10层，逾期收到或不符合规定的</w:t>
      </w:r>
      <w:r>
        <w:rPr>
          <w:rFonts w:hint="eastAsia" w:ascii="宋体" w:eastAsia="宋体"/>
          <w:sz w:val="24"/>
        </w:rPr>
        <w:t>招募响应文件</w:t>
      </w:r>
      <w:r>
        <w:rPr>
          <w:rFonts w:hint="eastAsia" w:ascii="宋体" w:eastAsia="宋体"/>
          <w:spacing w:val="-8"/>
          <w:sz w:val="24"/>
        </w:rPr>
        <w:t>恕不接受。</w:t>
      </w:r>
    </w:p>
    <w:p w14:paraId="6FF2BE7A">
      <w:pPr>
        <w:spacing w:line="440" w:lineRule="exact"/>
        <w:rPr>
          <w:rFonts w:ascii="Times New Roman" w:hAnsi="Times New Roman" w:eastAsia="宋体"/>
          <w:szCs w:val="21"/>
        </w:rPr>
      </w:pPr>
      <w:r>
        <w:rPr>
          <w:rFonts w:hint="eastAsia" w:ascii="宋体" w:eastAsia="宋体"/>
          <w:sz w:val="24"/>
        </w:rPr>
        <w:t xml:space="preserve">    </w:t>
      </w:r>
    </w:p>
    <w:p w14:paraId="38681AE3">
      <w:pPr>
        <w:spacing w:line="400" w:lineRule="exact"/>
        <w:rPr>
          <w:rFonts w:ascii="Times New Roman" w:hAnsi="Times New Roman" w:eastAsia="宋体"/>
          <w:szCs w:val="21"/>
        </w:rPr>
      </w:pPr>
      <w:r>
        <w:rPr>
          <w:rFonts w:hint="eastAsia" w:ascii="宋体" w:eastAsia="宋体"/>
          <w:sz w:val="24"/>
        </w:rPr>
        <w:t xml:space="preserve"> </w:t>
      </w:r>
    </w:p>
    <w:p w14:paraId="01D8BA79">
      <w:pPr>
        <w:spacing w:line="400" w:lineRule="exact"/>
        <w:ind w:firstLine="480" w:firstLineChars="200"/>
        <w:rPr>
          <w:rFonts w:ascii="Times New Roman" w:hAnsi="Times New Roman" w:eastAsia="宋体"/>
          <w:szCs w:val="21"/>
        </w:rPr>
      </w:pPr>
      <w:r>
        <w:rPr>
          <w:rFonts w:hint="eastAsia" w:ascii="宋体" w:cs="仿宋_GB2312"/>
          <w:bCs/>
          <w:sz w:val="24"/>
        </w:rPr>
        <w:t>招募</w:t>
      </w:r>
      <w:r>
        <w:rPr>
          <w:rFonts w:hint="eastAsia" w:ascii="宋体" w:eastAsia="宋体" w:cs="仿宋_GB2312"/>
          <w:bCs/>
          <w:sz w:val="24"/>
        </w:rPr>
        <w:t>单位：福建广电网络融媒体科技有限责任公司</w:t>
      </w:r>
    </w:p>
    <w:p w14:paraId="6C98D385">
      <w:pPr>
        <w:spacing w:line="400" w:lineRule="exact"/>
        <w:ind w:firstLine="480" w:firstLineChars="200"/>
        <w:rPr>
          <w:rFonts w:ascii="Times New Roman" w:hAnsi="Times New Roman" w:eastAsia="宋体"/>
          <w:szCs w:val="21"/>
        </w:rPr>
      </w:pPr>
      <w:r>
        <w:rPr>
          <w:rFonts w:hint="eastAsia" w:ascii="宋体" w:eastAsia="宋体" w:cs="仿宋_GB2312"/>
          <w:sz w:val="24"/>
        </w:rPr>
        <w:t xml:space="preserve">联 系 人：简敏            </w:t>
      </w:r>
    </w:p>
    <w:p w14:paraId="01CF6A70">
      <w:pPr>
        <w:spacing w:line="400" w:lineRule="exact"/>
        <w:ind w:firstLine="480" w:firstLineChars="200"/>
        <w:rPr>
          <w:rFonts w:ascii="Times New Roman" w:hAnsi="Times New Roman" w:eastAsia="宋体"/>
          <w:szCs w:val="21"/>
        </w:rPr>
      </w:pPr>
      <w:r>
        <w:rPr>
          <w:rFonts w:hint="eastAsia" w:ascii="宋体" w:eastAsia="宋体" w:cs="仿宋_GB2312"/>
          <w:sz w:val="24"/>
        </w:rPr>
        <w:t>电话：</w:t>
      </w:r>
      <w:r>
        <w:rPr>
          <w:rFonts w:hint="eastAsia" w:ascii="宋体" w:eastAsia="宋体"/>
          <w:sz w:val="24"/>
          <w:shd w:val="clear" w:color="auto" w:fill="FFFFFF"/>
        </w:rPr>
        <w:t>192</w:t>
      </w:r>
      <w:r>
        <w:rPr>
          <w:rFonts w:ascii="宋体" w:eastAsia="宋体"/>
          <w:sz w:val="24"/>
          <w:shd w:val="clear" w:color="auto" w:fill="FFFFFF"/>
        </w:rPr>
        <w:t>05906936</w:t>
      </w:r>
    </w:p>
    <w:p w14:paraId="7F59F8FC">
      <w:pPr>
        <w:spacing w:line="400" w:lineRule="exact"/>
        <w:ind w:firstLine="480" w:firstLineChars="200"/>
        <w:rPr>
          <w:rFonts w:ascii="Times New Roman" w:hAnsi="Times New Roman" w:eastAsia="宋体"/>
          <w:szCs w:val="21"/>
        </w:rPr>
      </w:pPr>
      <w:r>
        <w:rPr>
          <w:rFonts w:hint="eastAsia" w:ascii="宋体" w:eastAsia="宋体" w:cs="仿宋_GB2312"/>
          <w:sz w:val="24"/>
        </w:rPr>
        <w:t>地址：</w:t>
      </w:r>
      <w:r>
        <w:rPr>
          <w:rFonts w:hint="eastAsia" w:ascii="宋体" w:eastAsia="宋体"/>
          <w:spacing w:val="-8"/>
          <w:sz w:val="24"/>
        </w:rPr>
        <w:t>福州市闽侯县上街镇科技东路1号中国冶金地质B楼10层</w:t>
      </w:r>
    </w:p>
    <w:p w14:paraId="5626B33A">
      <w:pPr>
        <w:spacing w:line="440" w:lineRule="exact"/>
        <w:ind w:left="194" w:hanging="194" w:hangingChars="81"/>
        <w:rPr>
          <w:rFonts w:ascii="Times New Roman" w:hAnsi="Times New Roman" w:eastAsia="宋体"/>
          <w:szCs w:val="21"/>
        </w:rPr>
      </w:pPr>
      <w:r>
        <w:rPr>
          <w:rFonts w:hint="eastAsia" w:ascii="宋体" w:eastAsia="宋体"/>
          <w:sz w:val="24"/>
        </w:rPr>
        <w:t xml:space="preserve"> </w:t>
      </w:r>
    </w:p>
    <w:p w14:paraId="11E5ABA3">
      <w:pPr>
        <w:widowControl/>
        <w:spacing w:line="440" w:lineRule="exact"/>
        <w:jc w:val="left"/>
        <w:rPr>
          <w:rFonts w:ascii="宋体" w:eastAsia="宋体"/>
          <w:b/>
          <w:bCs/>
          <w:sz w:val="24"/>
        </w:rPr>
      </w:pPr>
      <w:r>
        <w:rPr>
          <w:rFonts w:hint="eastAsia" w:ascii="宋体" w:eastAsia="宋体"/>
          <w:b/>
          <w:bCs/>
          <w:sz w:val="24"/>
        </w:rPr>
        <w:t>附：招募内容一览表</w:t>
      </w:r>
    </w:p>
    <w:p w14:paraId="55AA7555">
      <w:pPr>
        <w:widowControl/>
        <w:spacing w:line="440" w:lineRule="exact"/>
        <w:jc w:val="left"/>
        <w:rPr>
          <w:rFonts w:ascii="宋体" w:eastAsia="宋体"/>
          <w:b/>
          <w:bCs/>
          <w:sz w:val="24"/>
        </w:rPr>
      </w:pPr>
    </w:p>
    <w:tbl>
      <w:tblPr>
        <w:tblStyle w:val="18"/>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6443"/>
      </w:tblGrid>
      <w:tr w14:paraId="5049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03" w:type="pct"/>
            <w:shd w:val="clear" w:color="auto" w:fill="F1F1F1" w:themeFill="background1" w:themeFillShade="F2"/>
            <w:vAlign w:val="center"/>
          </w:tcPr>
          <w:p w14:paraId="2488438A">
            <w:pPr>
              <w:tabs>
                <w:tab w:val="left" w:pos="2676"/>
              </w:tabs>
              <w:jc w:val="center"/>
              <w:rPr>
                <w:rFonts w:asciiTheme="minorEastAsia" w:hAnsiTheme="minorEastAsia" w:cstheme="minorEastAsia"/>
                <w:sz w:val="24"/>
              </w:rPr>
            </w:pPr>
          </w:p>
          <w:p w14:paraId="74E82BC3">
            <w:pPr>
              <w:tabs>
                <w:tab w:val="left" w:pos="2676"/>
              </w:tabs>
              <w:jc w:val="center"/>
              <w:rPr>
                <w:rFonts w:asciiTheme="minorEastAsia" w:hAnsiTheme="minorEastAsia" w:cstheme="minorEastAsia"/>
                <w:sz w:val="24"/>
              </w:rPr>
            </w:pPr>
            <w:r>
              <w:rPr>
                <w:rFonts w:hint="eastAsia" w:asciiTheme="minorEastAsia" w:hAnsiTheme="minorEastAsia" w:cstheme="minorEastAsia"/>
                <w:sz w:val="24"/>
              </w:rPr>
              <w:t>招募内容</w:t>
            </w:r>
          </w:p>
          <w:p w14:paraId="6435FD5D">
            <w:pPr>
              <w:tabs>
                <w:tab w:val="left" w:pos="2676"/>
              </w:tabs>
              <w:spacing w:line="300" w:lineRule="auto"/>
              <w:jc w:val="center"/>
              <w:rPr>
                <w:rFonts w:asciiTheme="minorEastAsia" w:hAnsiTheme="minorEastAsia" w:cstheme="minorEastAsia"/>
                <w:sz w:val="24"/>
              </w:rPr>
            </w:pPr>
          </w:p>
        </w:tc>
        <w:tc>
          <w:tcPr>
            <w:tcW w:w="3796" w:type="pct"/>
            <w:shd w:val="clear" w:color="auto" w:fill="auto"/>
            <w:vAlign w:val="center"/>
          </w:tcPr>
          <w:p w14:paraId="33E7D42E">
            <w:pPr>
              <w:tabs>
                <w:tab w:val="left" w:pos="2676"/>
              </w:tabs>
              <w:jc w:val="center"/>
              <w:rPr>
                <w:rFonts w:eastAsia="宋体"/>
              </w:rPr>
            </w:pPr>
            <w:r>
              <w:rPr>
                <w:rFonts w:hint="eastAsia" w:asciiTheme="minorEastAsia" w:hAnsiTheme="minorEastAsia" w:cstheme="minorEastAsia"/>
                <w:sz w:val="24"/>
              </w:rPr>
              <w:t>2026年度智融宣传服务合作</w:t>
            </w:r>
          </w:p>
        </w:tc>
      </w:tr>
      <w:tr w14:paraId="21B8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03" w:type="pct"/>
            <w:shd w:val="clear" w:color="auto" w:fill="F1F1F1" w:themeFill="background1" w:themeFillShade="F2"/>
            <w:vAlign w:val="center"/>
          </w:tcPr>
          <w:p w14:paraId="54CFDC10">
            <w:pPr>
              <w:tabs>
                <w:tab w:val="left" w:pos="2676"/>
              </w:tabs>
              <w:jc w:val="center"/>
              <w:rPr>
                <w:rFonts w:asciiTheme="minorEastAsia" w:hAnsiTheme="minorEastAsia" w:cstheme="minorEastAsia"/>
                <w:sz w:val="24"/>
              </w:rPr>
            </w:pPr>
            <w:r>
              <w:rPr>
                <w:rFonts w:hint="eastAsia" w:asciiTheme="minorEastAsia" w:hAnsiTheme="minorEastAsia" w:cstheme="minorEastAsia"/>
                <w:sz w:val="24"/>
              </w:rPr>
              <w:t>主要服务</w:t>
            </w:r>
          </w:p>
        </w:tc>
        <w:tc>
          <w:tcPr>
            <w:tcW w:w="3796" w:type="pct"/>
            <w:shd w:val="clear" w:color="auto" w:fill="auto"/>
            <w:vAlign w:val="center"/>
          </w:tcPr>
          <w:p w14:paraId="19B5CA26">
            <w:pPr>
              <w:tabs>
                <w:tab w:val="left" w:pos="2676"/>
              </w:tabs>
              <w:jc w:val="left"/>
              <w:rPr>
                <w:rFonts w:asciiTheme="minorEastAsia" w:hAnsiTheme="minorEastAsia" w:cstheme="minorEastAsia"/>
                <w:sz w:val="24"/>
              </w:rPr>
            </w:pPr>
            <w:r>
              <w:rPr>
                <w:rFonts w:hint="eastAsia" w:asciiTheme="minorEastAsia" w:hAnsiTheme="minorEastAsia" w:cstheme="minorEastAsia"/>
                <w:sz w:val="24"/>
              </w:rPr>
              <w:t>提供智融宣传服务所需的平台系统、软件开发、技术支撑和信息服务支撑，包括智融服务所需展现设备、技术及配套的安装部署调试服务、网络数据服务、技术平台支持、设计支持、软件升级等一体化服务。</w:t>
            </w:r>
          </w:p>
        </w:tc>
      </w:tr>
    </w:tbl>
    <w:p w14:paraId="43BE09A2">
      <w:pPr>
        <w:widowControl/>
        <w:rPr>
          <w:rFonts w:ascii="宋体" w:eastAsia="宋体"/>
          <w:b/>
          <w:bCs/>
          <w:sz w:val="36"/>
          <w:szCs w:val="36"/>
        </w:rPr>
      </w:pPr>
    </w:p>
    <w:p w14:paraId="5ADF5F16">
      <w:pPr>
        <w:widowControl/>
        <w:rPr>
          <w:rFonts w:ascii="宋体" w:eastAsia="宋体"/>
          <w:b/>
          <w:bCs/>
          <w:sz w:val="36"/>
          <w:szCs w:val="36"/>
        </w:rPr>
      </w:pPr>
    </w:p>
    <w:p w14:paraId="1B34BAD1">
      <w:pPr>
        <w:widowControl/>
        <w:rPr>
          <w:rFonts w:ascii="宋体" w:eastAsia="宋体"/>
          <w:b/>
          <w:bCs/>
          <w:sz w:val="36"/>
          <w:szCs w:val="36"/>
        </w:rPr>
      </w:pPr>
    </w:p>
    <w:p w14:paraId="5E24C739">
      <w:pPr>
        <w:widowControl/>
        <w:rPr>
          <w:rFonts w:ascii="宋体" w:eastAsia="宋体"/>
          <w:b/>
          <w:bCs/>
          <w:sz w:val="36"/>
          <w:szCs w:val="36"/>
        </w:rPr>
      </w:pPr>
    </w:p>
    <w:p w14:paraId="6317AD00">
      <w:pPr>
        <w:widowControl/>
        <w:rPr>
          <w:rFonts w:ascii="宋体" w:eastAsia="宋体"/>
          <w:b/>
          <w:bCs/>
          <w:sz w:val="36"/>
          <w:szCs w:val="36"/>
        </w:rPr>
      </w:pPr>
    </w:p>
    <w:p w14:paraId="5D70C8B3">
      <w:pPr>
        <w:tabs>
          <w:tab w:val="left" w:pos="0"/>
        </w:tabs>
        <w:jc w:val="center"/>
        <w:outlineLvl w:val="0"/>
        <w:rPr>
          <w:rFonts w:ascii="Times New Roman" w:hAnsi="Times New Roman" w:eastAsia="宋体"/>
          <w:szCs w:val="21"/>
        </w:rPr>
      </w:pPr>
      <w:bookmarkStart w:id="39" w:name="_Toc5108"/>
      <w:r>
        <w:rPr>
          <w:rFonts w:hint="eastAsia" w:ascii="宋体" w:cs="宋体"/>
          <w:b/>
          <w:sz w:val="36"/>
        </w:rPr>
        <w:t>第二部分  合作方须知</w:t>
      </w:r>
      <w:bookmarkEnd w:id="39"/>
    </w:p>
    <w:p w14:paraId="44F50A17">
      <w:pPr>
        <w:spacing w:line="440" w:lineRule="exact"/>
        <w:jc w:val="center"/>
        <w:rPr>
          <w:rFonts w:ascii="Times New Roman" w:hAnsi="Times New Roman" w:eastAsia="宋体"/>
          <w:szCs w:val="21"/>
        </w:rPr>
      </w:pPr>
      <w:r>
        <w:rPr>
          <w:rFonts w:hint="eastAsia" w:ascii="宋体"/>
          <w:b/>
          <w:bCs/>
          <w:sz w:val="32"/>
          <w:szCs w:val="32"/>
        </w:rPr>
        <w:t>合作方</w:t>
      </w:r>
      <w:r>
        <w:rPr>
          <w:rFonts w:hint="eastAsia" w:ascii="宋体" w:eastAsia="宋体"/>
          <w:b/>
          <w:bCs/>
          <w:sz w:val="32"/>
          <w:szCs w:val="32"/>
        </w:rPr>
        <w:t>须知前附表</w:t>
      </w:r>
    </w:p>
    <w:p w14:paraId="3F543843">
      <w:pPr>
        <w:spacing w:line="440" w:lineRule="exact"/>
        <w:ind w:firstLine="480" w:firstLineChars="200"/>
        <w:rPr>
          <w:sz w:val="28"/>
          <w:szCs w:val="28"/>
        </w:rPr>
      </w:pPr>
      <w:r>
        <w:rPr>
          <w:rFonts w:hint="eastAsia" w:ascii="宋体" w:eastAsia="宋体"/>
          <w:sz w:val="24"/>
        </w:rPr>
        <w:t>合作方须知前附表是对</w:t>
      </w:r>
      <w:r>
        <w:rPr>
          <w:rFonts w:hint="eastAsia" w:ascii="宋体"/>
          <w:sz w:val="24"/>
        </w:rPr>
        <w:t>合作方</w:t>
      </w:r>
      <w:r>
        <w:rPr>
          <w:rFonts w:hint="eastAsia" w:ascii="宋体" w:eastAsia="宋体"/>
          <w:sz w:val="24"/>
        </w:rPr>
        <w:t>须知的补充，二者如有矛盾，以前附表为准。</w:t>
      </w:r>
    </w:p>
    <w:tbl>
      <w:tblPr>
        <w:tblStyle w:val="17"/>
        <w:tblW w:w="929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14:paraId="15CE78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l2br w:val="nil"/>
              <w:tr2bl w:val="nil"/>
            </w:tcBorders>
          </w:tcPr>
          <w:p w14:paraId="1D94F529">
            <w:pPr>
              <w:widowControl/>
              <w:spacing w:line="420" w:lineRule="exact"/>
              <w:jc w:val="center"/>
              <w:rPr>
                <w:rFonts w:ascii="Times New Roman" w:hAnsi="Times New Roman" w:eastAsia="宋体"/>
                <w:szCs w:val="21"/>
              </w:rPr>
            </w:pPr>
            <w:r>
              <w:rPr>
                <w:rFonts w:hint="eastAsia" w:ascii="宋体" w:eastAsia="宋体"/>
                <w:sz w:val="24"/>
              </w:rPr>
              <w:t>项号</w:t>
            </w:r>
          </w:p>
        </w:tc>
        <w:tc>
          <w:tcPr>
            <w:tcW w:w="1136" w:type="dxa"/>
            <w:tcBorders>
              <w:top w:val="single" w:color="auto" w:sz="4" w:space="0"/>
              <w:left w:val="nil"/>
              <w:bottom w:val="single" w:color="auto" w:sz="4" w:space="0"/>
              <w:right w:val="single" w:color="auto" w:sz="4" w:space="0"/>
              <w:tl2br w:val="nil"/>
              <w:tr2bl w:val="nil"/>
            </w:tcBorders>
          </w:tcPr>
          <w:p w14:paraId="1FA6FDD3">
            <w:pPr>
              <w:widowControl/>
              <w:spacing w:line="420" w:lineRule="exact"/>
              <w:jc w:val="center"/>
              <w:rPr>
                <w:rFonts w:ascii="Times New Roman" w:hAnsi="Times New Roman" w:eastAsia="宋体"/>
                <w:szCs w:val="21"/>
              </w:rPr>
            </w:pPr>
            <w:r>
              <w:rPr>
                <w:rFonts w:hint="eastAsia" w:ascii="宋体" w:eastAsia="宋体"/>
                <w:sz w:val="24"/>
              </w:rPr>
              <w:t>条款号</w:t>
            </w:r>
          </w:p>
        </w:tc>
        <w:tc>
          <w:tcPr>
            <w:tcW w:w="7383" w:type="dxa"/>
            <w:tcBorders>
              <w:top w:val="single" w:color="auto" w:sz="4" w:space="0"/>
              <w:left w:val="nil"/>
              <w:bottom w:val="single" w:color="auto" w:sz="4" w:space="0"/>
              <w:right w:val="single" w:color="auto" w:sz="4" w:space="0"/>
              <w:tl2br w:val="nil"/>
              <w:tr2bl w:val="nil"/>
            </w:tcBorders>
          </w:tcPr>
          <w:p w14:paraId="3C81BBB2">
            <w:pPr>
              <w:widowControl/>
              <w:spacing w:line="420" w:lineRule="exact"/>
              <w:jc w:val="center"/>
              <w:rPr>
                <w:rFonts w:ascii="Times New Roman" w:hAnsi="Times New Roman" w:eastAsia="宋体"/>
                <w:szCs w:val="21"/>
              </w:rPr>
            </w:pPr>
            <w:r>
              <w:rPr>
                <w:rFonts w:hint="eastAsia" w:ascii="宋体" w:eastAsia="宋体"/>
                <w:sz w:val="24"/>
              </w:rPr>
              <w:t>编列内容</w:t>
            </w:r>
          </w:p>
        </w:tc>
      </w:tr>
      <w:tr w14:paraId="354CEA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4" w:hRule="atLeast"/>
          <w:jc w:val="center"/>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ECB3609">
            <w:pPr>
              <w:widowControl/>
              <w:spacing w:line="420" w:lineRule="exact"/>
              <w:jc w:val="center"/>
              <w:rPr>
                <w:rFonts w:ascii="Times New Roman" w:hAnsi="Times New Roman" w:eastAsia="宋体"/>
                <w:szCs w:val="21"/>
              </w:rPr>
            </w:pPr>
            <w:r>
              <w:rPr>
                <w:rFonts w:hint="eastAsia" w:ascii="宋体" w:eastAsia="宋体"/>
                <w:sz w:val="24"/>
              </w:rPr>
              <w:t>1</w:t>
            </w:r>
          </w:p>
        </w:tc>
        <w:tc>
          <w:tcPr>
            <w:tcW w:w="1136" w:type="dxa"/>
            <w:tcBorders>
              <w:top w:val="single" w:color="auto" w:sz="4" w:space="0"/>
              <w:left w:val="nil"/>
              <w:bottom w:val="single" w:color="auto" w:sz="4" w:space="0"/>
              <w:right w:val="single" w:color="auto" w:sz="4" w:space="0"/>
              <w:tl2br w:val="nil"/>
              <w:tr2bl w:val="nil"/>
            </w:tcBorders>
            <w:vAlign w:val="center"/>
          </w:tcPr>
          <w:p w14:paraId="22F104C5">
            <w:pPr>
              <w:widowControl/>
              <w:spacing w:line="420" w:lineRule="exact"/>
              <w:jc w:val="center"/>
              <w:rPr>
                <w:rFonts w:ascii="Times New Roman" w:hAnsi="Times New Roman" w:eastAsia="宋体"/>
                <w:szCs w:val="21"/>
              </w:rPr>
            </w:pPr>
            <w:r>
              <w:rPr>
                <w:rFonts w:hint="eastAsia" w:ascii="宋体" w:eastAsia="宋体"/>
                <w:sz w:val="24"/>
              </w:rPr>
              <w:t>1.1</w:t>
            </w:r>
          </w:p>
        </w:tc>
        <w:tc>
          <w:tcPr>
            <w:tcW w:w="7383" w:type="dxa"/>
            <w:tcBorders>
              <w:top w:val="single" w:color="auto" w:sz="4" w:space="0"/>
              <w:left w:val="nil"/>
              <w:bottom w:val="single" w:color="auto" w:sz="4" w:space="0"/>
              <w:right w:val="single" w:color="auto" w:sz="4" w:space="0"/>
              <w:tl2br w:val="nil"/>
              <w:tr2bl w:val="nil"/>
            </w:tcBorders>
            <w:vAlign w:val="center"/>
          </w:tcPr>
          <w:p w14:paraId="3488321A">
            <w:pPr>
              <w:widowControl/>
              <w:spacing w:line="420" w:lineRule="exact"/>
              <w:rPr>
                <w:rFonts w:asciiTheme="minorEastAsia" w:hAnsiTheme="minorEastAsia" w:cstheme="minorEastAsia"/>
                <w:sz w:val="24"/>
              </w:rPr>
            </w:pPr>
            <w:r>
              <w:rPr>
                <w:rFonts w:hAnsi="宋体"/>
                <w:bCs/>
                <w:color w:val="000000"/>
                <w:sz w:val="24"/>
              </w:rPr>
              <w:t>项目名称：</w:t>
            </w:r>
            <w:r>
              <w:rPr>
                <w:rFonts w:hint="eastAsia" w:asciiTheme="minorEastAsia" w:hAnsiTheme="minorEastAsia" w:cstheme="minorEastAsia"/>
                <w:sz w:val="24"/>
              </w:rPr>
              <w:t>2026年度智融宣传服务合作伙伴招募</w:t>
            </w:r>
          </w:p>
          <w:p w14:paraId="043E3309">
            <w:pPr>
              <w:widowControl/>
              <w:spacing w:line="420" w:lineRule="exact"/>
              <w:rPr>
                <w:rFonts w:asciiTheme="minorEastAsia" w:hAnsiTheme="minorEastAsia" w:cstheme="minorEastAsia"/>
                <w:sz w:val="24"/>
                <w:u w:val="single"/>
              </w:rPr>
            </w:pPr>
            <w:r>
              <w:rPr>
                <w:rFonts w:hint="eastAsia" w:asciiTheme="minorEastAsia" w:hAnsiTheme="minorEastAsia" w:cstheme="minorEastAsia"/>
                <w:sz w:val="24"/>
              </w:rPr>
              <w:t>招募人：</w:t>
            </w:r>
            <w:r>
              <w:rPr>
                <w:rFonts w:hint="eastAsia" w:hAnsi="宋体"/>
                <w:bCs/>
                <w:color w:val="000000"/>
                <w:sz w:val="24"/>
              </w:rPr>
              <w:t>福建广电网络融媒体科技有限责任公司</w:t>
            </w:r>
          </w:p>
        </w:tc>
      </w:tr>
      <w:tr w14:paraId="6F0ECA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D4C9162">
            <w:pPr>
              <w:widowControl/>
              <w:spacing w:line="420" w:lineRule="exact"/>
              <w:jc w:val="center"/>
              <w:rPr>
                <w:rFonts w:ascii="Times New Roman" w:hAnsi="Times New Roman" w:eastAsia="宋体"/>
                <w:szCs w:val="21"/>
              </w:rPr>
            </w:pPr>
            <w:r>
              <w:rPr>
                <w:rFonts w:hint="eastAsia" w:ascii="宋体" w:eastAsia="宋体"/>
                <w:sz w:val="24"/>
              </w:rPr>
              <w:t>2</w:t>
            </w:r>
          </w:p>
        </w:tc>
        <w:tc>
          <w:tcPr>
            <w:tcW w:w="1136" w:type="dxa"/>
            <w:tcBorders>
              <w:top w:val="single" w:color="auto" w:sz="4" w:space="0"/>
              <w:left w:val="nil"/>
              <w:bottom w:val="single" w:color="auto" w:sz="4" w:space="0"/>
              <w:right w:val="single" w:color="auto" w:sz="4" w:space="0"/>
              <w:tl2br w:val="nil"/>
              <w:tr2bl w:val="nil"/>
            </w:tcBorders>
            <w:vAlign w:val="center"/>
          </w:tcPr>
          <w:p w14:paraId="750CE7BF">
            <w:pPr>
              <w:widowControl/>
              <w:spacing w:line="420" w:lineRule="exact"/>
              <w:jc w:val="center"/>
              <w:rPr>
                <w:rFonts w:ascii="Times New Roman" w:hAnsi="Times New Roman" w:eastAsia="宋体"/>
                <w:szCs w:val="21"/>
              </w:rPr>
            </w:pPr>
            <w:r>
              <w:rPr>
                <w:rFonts w:hint="eastAsia" w:ascii="宋体" w:eastAsia="宋体"/>
                <w:sz w:val="24"/>
              </w:rPr>
              <w:t>2.1</w:t>
            </w:r>
          </w:p>
        </w:tc>
        <w:tc>
          <w:tcPr>
            <w:tcW w:w="7383" w:type="dxa"/>
            <w:tcBorders>
              <w:top w:val="single" w:color="auto" w:sz="4" w:space="0"/>
              <w:left w:val="nil"/>
              <w:bottom w:val="single" w:color="auto" w:sz="4" w:space="0"/>
              <w:right w:val="single" w:color="auto" w:sz="4" w:space="0"/>
              <w:tl2br w:val="nil"/>
              <w:tr2bl w:val="nil"/>
            </w:tcBorders>
            <w:vAlign w:val="center"/>
          </w:tcPr>
          <w:p w14:paraId="7FAD292B">
            <w:pPr>
              <w:widowControl/>
              <w:spacing w:line="420" w:lineRule="exact"/>
              <w:rPr>
                <w:rFonts w:ascii="宋体" w:hAnsi="宋体" w:cs="宋体"/>
                <w:kern w:val="0"/>
                <w:sz w:val="24"/>
              </w:rPr>
            </w:pPr>
            <w:r>
              <w:rPr>
                <w:rFonts w:hint="eastAsia" w:ascii="宋体" w:hAnsi="宋体" w:cs="宋体"/>
                <w:kern w:val="0"/>
                <w:sz w:val="24"/>
              </w:rPr>
              <w:t>基本资格标准：</w:t>
            </w:r>
          </w:p>
          <w:p w14:paraId="62CBF8C2">
            <w:pPr>
              <w:widowControl/>
              <w:spacing w:line="420" w:lineRule="exact"/>
              <w:rPr>
                <w:rFonts w:ascii="宋体" w:hAnsi="宋体" w:cs="宋体"/>
                <w:kern w:val="0"/>
                <w:sz w:val="24"/>
              </w:rPr>
            </w:pPr>
            <w:r>
              <w:rPr>
                <w:rFonts w:hint="eastAsia" w:ascii="宋体" w:hAnsi="宋体" w:cs="宋体"/>
                <w:kern w:val="0"/>
                <w:sz w:val="24"/>
              </w:rPr>
              <w:t>（1）招募对象应是具有独立法人资格，有能力提供相关内容及服务的国内企业(招募对象应提供合格有效的三证合一的企业法人营业执照副本复印件，并加盖单位公章)。</w:t>
            </w:r>
          </w:p>
          <w:p w14:paraId="7839A445">
            <w:pPr>
              <w:widowControl/>
              <w:spacing w:line="420" w:lineRule="exact"/>
              <w:rPr>
                <w:rFonts w:ascii="宋体" w:hAnsi="宋体" w:cs="宋体"/>
                <w:kern w:val="0"/>
                <w:sz w:val="24"/>
              </w:rPr>
            </w:pPr>
            <w:r>
              <w:rPr>
                <w:rFonts w:hint="eastAsia" w:ascii="宋体" w:hAnsi="宋体" w:cs="宋体"/>
                <w:kern w:val="0"/>
                <w:sz w:val="24"/>
              </w:rPr>
              <w:t>（2）招募对象应通过“信用中国”网站（www.creditchina.gov.cn）、中国政府采购网（www.ccgp.gov.cn）、中国执行信息公开网（http://zxgk.court.gov.cn/）查询并打印相应的信用记录（查询日期应为招募公告期间，并加盖单位公章）。</w:t>
            </w:r>
          </w:p>
          <w:p w14:paraId="1E3F0CE9">
            <w:pPr>
              <w:widowControl/>
              <w:spacing w:line="420" w:lineRule="exact"/>
              <w:rPr>
                <w:rFonts w:ascii="宋体" w:hAns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w:t>
            </w:r>
            <w:r>
              <w:rPr>
                <w:rFonts w:hint="eastAsia" w:ascii="宋体" w:hAnsi="宋体" w:cs="宋体"/>
                <w:kern w:val="0"/>
                <w:sz w:val="24"/>
                <w:lang w:eastAsia="zh-Hans"/>
              </w:rPr>
              <w:t>招募对象应承诺自202</w:t>
            </w:r>
            <w:r>
              <w:rPr>
                <w:rFonts w:hint="eastAsia" w:ascii="宋体" w:hAnsi="宋体" w:cs="宋体"/>
                <w:kern w:val="0"/>
                <w:sz w:val="24"/>
              </w:rPr>
              <w:t>2</w:t>
            </w:r>
            <w:r>
              <w:rPr>
                <w:rFonts w:hint="eastAsia" w:ascii="宋体" w:hAnsi="宋体" w:cs="宋体"/>
                <w:kern w:val="0"/>
                <w:sz w:val="24"/>
                <w:lang w:eastAsia="zh-Hans"/>
              </w:rPr>
              <w:t>年1月1日起至本项目招募公示结束时间止，在福建广电网络集团股份有限公司或福建广电网络融媒体科技有限责任公司无不良合同履行记录（提供合作服务承诺函，并加盖单位公章），若有，其招募文件将被拒绝。</w:t>
            </w:r>
          </w:p>
          <w:p w14:paraId="2EAAD470">
            <w:pPr>
              <w:widowControl/>
              <w:spacing w:line="420" w:lineRule="exact"/>
              <w:rPr>
                <w:rFonts w:ascii="宋体" w:hAns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p w14:paraId="4725EB2F">
            <w:pPr>
              <w:widowControl/>
              <w:spacing w:line="420" w:lineRule="exact"/>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）合作方应提供招募响应文件提交截止时间前六个月（含当月）任意一个月的依法缴纳税收和依法缴纳社会保障资金的凭据。</w:t>
            </w:r>
          </w:p>
        </w:tc>
      </w:tr>
      <w:tr w14:paraId="4AE4EA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jc w:val="center"/>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BB3362A">
            <w:pPr>
              <w:widowControl/>
              <w:spacing w:line="420" w:lineRule="exact"/>
              <w:jc w:val="center"/>
              <w:rPr>
                <w:rFonts w:ascii="Times New Roman" w:hAnsi="Times New Roman" w:eastAsia="宋体"/>
                <w:szCs w:val="21"/>
              </w:rPr>
            </w:pPr>
            <w:r>
              <w:rPr>
                <w:rFonts w:hint="eastAsia" w:ascii="宋体" w:eastAsia="宋体"/>
                <w:sz w:val="24"/>
              </w:rPr>
              <w:t>3</w:t>
            </w:r>
          </w:p>
        </w:tc>
        <w:tc>
          <w:tcPr>
            <w:tcW w:w="1136" w:type="dxa"/>
            <w:tcBorders>
              <w:top w:val="single" w:color="auto" w:sz="4" w:space="0"/>
              <w:left w:val="nil"/>
              <w:bottom w:val="single" w:color="auto" w:sz="4" w:space="0"/>
              <w:right w:val="single" w:color="auto" w:sz="4" w:space="0"/>
              <w:tl2br w:val="nil"/>
              <w:tr2bl w:val="nil"/>
            </w:tcBorders>
            <w:vAlign w:val="center"/>
          </w:tcPr>
          <w:p w14:paraId="10276E41">
            <w:pPr>
              <w:widowControl/>
              <w:spacing w:line="420" w:lineRule="exact"/>
              <w:jc w:val="center"/>
              <w:rPr>
                <w:rFonts w:ascii="Times New Roman" w:hAnsi="Times New Roman" w:eastAsia="宋体"/>
                <w:szCs w:val="21"/>
              </w:rPr>
            </w:pPr>
            <w:r>
              <w:rPr>
                <w:rFonts w:hint="eastAsia" w:ascii="宋体" w:eastAsia="宋体"/>
                <w:sz w:val="24"/>
              </w:rPr>
              <w:t>3.1</w:t>
            </w:r>
          </w:p>
        </w:tc>
        <w:tc>
          <w:tcPr>
            <w:tcW w:w="7383" w:type="dxa"/>
            <w:tcBorders>
              <w:top w:val="single" w:color="auto" w:sz="4" w:space="0"/>
              <w:left w:val="nil"/>
              <w:bottom w:val="single" w:color="auto" w:sz="4" w:space="0"/>
              <w:right w:val="single" w:color="auto" w:sz="4" w:space="0"/>
              <w:tl2br w:val="nil"/>
              <w:tr2bl w:val="nil"/>
            </w:tcBorders>
            <w:vAlign w:val="center"/>
          </w:tcPr>
          <w:p w14:paraId="5350C227">
            <w:pPr>
              <w:widowControl/>
              <w:spacing w:line="420" w:lineRule="exact"/>
              <w:rPr>
                <w:rFonts w:ascii="Times New Roman" w:hAnsi="Times New Roman" w:eastAsia="宋体"/>
                <w:szCs w:val="21"/>
              </w:rPr>
            </w:pPr>
            <w:r>
              <w:rPr>
                <w:rFonts w:hint="eastAsia" w:ascii="宋体" w:eastAsia="宋体"/>
                <w:sz w:val="24"/>
              </w:rPr>
              <w:t>报价有效期：报价截止期结束后</w:t>
            </w:r>
            <w:r>
              <w:rPr>
                <w:rFonts w:hint="eastAsia" w:ascii="宋体"/>
                <w:sz w:val="24"/>
                <w:u w:val="single"/>
              </w:rPr>
              <w:t>90</w:t>
            </w:r>
            <w:r>
              <w:rPr>
                <w:rFonts w:hint="eastAsia" w:ascii="宋体" w:eastAsia="宋体"/>
                <w:sz w:val="24"/>
              </w:rPr>
              <w:t>个日历日。</w:t>
            </w:r>
          </w:p>
        </w:tc>
      </w:tr>
      <w:tr w14:paraId="407DD8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jc w:val="center"/>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9AE2C42">
            <w:pPr>
              <w:widowControl/>
              <w:spacing w:line="420" w:lineRule="exact"/>
              <w:jc w:val="center"/>
              <w:rPr>
                <w:rFonts w:ascii="Times New Roman" w:hAnsi="Times New Roman" w:eastAsia="宋体"/>
                <w:szCs w:val="21"/>
              </w:rPr>
            </w:pPr>
            <w:r>
              <w:rPr>
                <w:rFonts w:hint="eastAsia" w:ascii="宋体" w:eastAsia="宋体"/>
                <w:sz w:val="24"/>
              </w:rPr>
              <w:t>4</w:t>
            </w:r>
          </w:p>
        </w:tc>
        <w:tc>
          <w:tcPr>
            <w:tcW w:w="1136" w:type="dxa"/>
            <w:tcBorders>
              <w:top w:val="single" w:color="auto" w:sz="4" w:space="0"/>
              <w:left w:val="nil"/>
              <w:bottom w:val="single" w:color="auto" w:sz="4" w:space="0"/>
              <w:right w:val="single" w:color="auto" w:sz="4" w:space="0"/>
              <w:tl2br w:val="nil"/>
              <w:tr2bl w:val="nil"/>
            </w:tcBorders>
            <w:vAlign w:val="center"/>
          </w:tcPr>
          <w:p w14:paraId="1B250BD4">
            <w:pPr>
              <w:widowControl/>
              <w:spacing w:line="420" w:lineRule="exact"/>
              <w:jc w:val="center"/>
              <w:rPr>
                <w:rFonts w:ascii="Times New Roman" w:hAnsi="Times New Roman" w:eastAsia="宋体"/>
                <w:szCs w:val="21"/>
              </w:rPr>
            </w:pPr>
            <w:r>
              <w:rPr>
                <w:rFonts w:hint="eastAsia" w:ascii="宋体" w:eastAsia="宋体"/>
                <w:sz w:val="24"/>
              </w:rPr>
              <w:t>4.1</w:t>
            </w:r>
          </w:p>
        </w:tc>
        <w:tc>
          <w:tcPr>
            <w:tcW w:w="7383" w:type="dxa"/>
            <w:tcBorders>
              <w:top w:val="single" w:color="auto" w:sz="4" w:space="0"/>
              <w:left w:val="nil"/>
              <w:bottom w:val="single" w:color="auto" w:sz="4" w:space="0"/>
              <w:right w:val="single" w:color="auto" w:sz="4" w:space="0"/>
              <w:tl2br w:val="nil"/>
              <w:tr2bl w:val="nil"/>
            </w:tcBorders>
            <w:vAlign w:val="center"/>
          </w:tcPr>
          <w:p w14:paraId="56EBFD84">
            <w:pPr>
              <w:widowControl/>
              <w:spacing w:line="400" w:lineRule="exact"/>
              <w:rPr>
                <w:rFonts w:ascii="Times New Roman" w:hAnsi="Times New Roman" w:eastAsia="宋体"/>
                <w:szCs w:val="21"/>
              </w:rPr>
            </w:pPr>
            <w:r>
              <w:rPr>
                <w:rFonts w:hint="eastAsia" w:ascii="宋体" w:eastAsia="宋体"/>
                <w:sz w:val="24"/>
              </w:rPr>
              <w:t>招募响应文件递交至：福建广电网络融媒体科技有限责任公司</w:t>
            </w:r>
          </w:p>
          <w:p w14:paraId="5F798DE1">
            <w:pPr>
              <w:widowControl/>
              <w:spacing w:line="400" w:lineRule="exact"/>
              <w:rPr>
                <w:rFonts w:ascii="Times New Roman" w:hAnsi="Times New Roman" w:eastAsia="宋体"/>
                <w:szCs w:val="21"/>
              </w:rPr>
            </w:pPr>
            <w:r>
              <w:rPr>
                <w:rFonts w:hint="eastAsia" w:ascii="宋体" w:eastAsia="宋体"/>
                <w:sz w:val="24"/>
              </w:rPr>
              <w:t>地  址：</w:t>
            </w:r>
            <w:r>
              <w:rPr>
                <w:rFonts w:hint="eastAsia" w:ascii="宋体" w:eastAsia="宋体"/>
                <w:spacing w:val="-8"/>
                <w:sz w:val="24"/>
              </w:rPr>
              <w:t>福州市闽侯县上街镇科技东路1号中国冶金地质大厦B楼10层</w:t>
            </w:r>
          </w:p>
          <w:p w14:paraId="64DCACF0">
            <w:pPr>
              <w:widowControl/>
              <w:spacing w:line="400" w:lineRule="exact"/>
              <w:rPr>
                <w:rFonts w:ascii="宋体"/>
                <w:sz w:val="24"/>
              </w:rPr>
            </w:pPr>
            <w:r>
              <w:rPr>
                <w:rFonts w:hint="eastAsia" w:ascii="宋体"/>
                <w:sz w:val="24"/>
              </w:rPr>
              <w:t>接收人：简女士</w:t>
            </w:r>
          </w:p>
          <w:p w14:paraId="65BF9DAB">
            <w:pPr>
              <w:widowControl/>
              <w:spacing w:line="400" w:lineRule="exact"/>
              <w:rPr>
                <w:rFonts w:ascii="宋体"/>
                <w:sz w:val="24"/>
              </w:rPr>
            </w:pPr>
            <w:r>
              <w:rPr>
                <w:rFonts w:hint="eastAsia" w:ascii="宋体"/>
                <w:sz w:val="24"/>
              </w:rPr>
              <w:t>电话：</w:t>
            </w:r>
            <w:r>
              <w:rPr>
                <w:rFonts w:hint="eastAsia" w:ascii="宋体" w:eastAsia="宋体"/>
                <w:sz w:val="24"/>
                <w:shd w:val="clear" w:color="auto" w:fill="FFFFFF"/>
              </w:rPr>
              <w:t>192</w:t>
            </w:r>
            <w:r>
              <w:rPr>
                <w:rFonts w:ascii="宋体" w:eastAsia="宋体"/>
                <w:sz w:val="24"/>
                <w:shd w:val="clear" w:color="auto" w:fill="FFFFFF"/>
              </w:rPr>
              <w:t>05906936</w:t>
            </w:r>
          </w:p>
          <w:p w14:paraId="666F53B3">
            <w:pPr>
              <w:widowControl/>
              <w:spacing w:line="400" w:lineRule="exact"/>
              <w:rPr>
                <w:rFonts w:ascii="宋体"/>
                <w:sz w:val="24"/>
              </w:rPr>
            </w:pPr>
            <w:r>
              <w:rPr>
                <w:rFonts w:hint="eastAsia" w:ascii="宋体" w:eastAsia="宋体"/>
                <w:sz w:val="24"/>
              </w:rPr>
              <w:t>报名截止时间：</w:t>
            </w:r>
            <w:r>
              <w:rPr>
                <w:rFonts w:hint="eastAsia" w:ascii="宋体" w:eastAsia="宋体"/>
                <w:spacing w:val="-8"/>
                <w:sz w:val="24"/>
                <w:u w:val="single"/>
              </w:rPr>
              <w:t>2025年12月</w:t>
            </w:r>
            <w:r>
              <w:rPr>
                <w:rFonts w:hint="eastAsia" w:ascii="宋体" w:eastAsia="宋体"/>
                <w:spacing w:val="-8"/>
                <w:sz w:val="24"/>
                <w:u w:val="single"/>
                <w:lang w:val="en-US" w:eastAsia="zh-CN"/>
              </w:rPr>
              <w:t>21</w:t>
            </w:r>
            <w:r>
              <w:rPr>
                <w:rFonts w:hint="eastAsia" w:ascii="宋体" w:eastAsia="宋体"/>
                <w:spacing w:val="-4"/>
                <w:sz w:val="24"/>
              </w:rPr>
              <w:t>日</w:t>
            </w:r>
            <w:r>
              <w:rPr>
                <w:rFonts w:hint="eastAsia" w:ascii="宋体"/>
                <w:spacing w:val="-4"/>
                <w:sz w:val="24"/>
              </w:rPr>
              <w:t>下</w:t>
            </w:r>
            <w:r>
              <w:rPr>
                <w:rFonts w:hint="eastAsia" w:ascii="宋体" w:eastAsia="宋体"/>
                <w:sz w:val="24"/>
              </w:rPr>
              <w:t>午</w:t>
            </w:r>
            <w:r>
              <w:rPr>
                <w:rFonts w:hint="eastAsia" w:ascii="宋体"/>
                <w:sz w:val="24"/>
                <w:u w:val="single"/>
              </w:rPr>
              <w:t>17</w:t>
            </w:r>
            <w:r>
              <w:rPr>
                <w:rFonts w:hint="eastAsia" w:ascii="宋体" w:eastAsia="宋体"/>
                <w:sz w:val="24"/>
                <w:u w:val="single"/>
              </w:rPr>
              <w:t>:</w:t>
            </w:r>
            <w:r>
              <w:rPr>
                <w:rFonts w:hint="eastAsia" w:ascii="宋体"/>
                <w:sz w:val="24"/>
                <w:u w:val="single"/>
              </w:rPr>
              <w:t>0</w:t>
            </w:r>
            <w:r>
              <w:rPr>
                <w:rFonts w:hint="eastAsia" w:ascii="宋体" w:eastAsia="宋体"/>
                <w:sz w:val="24"/>
                <w:u w:val="single"/>
              </w:rPr>
              <w:t>0</w:t>
            </w:r>
            <w:r>
              <w:rPr>
                <w:rFonts w:hint="eastAsia" w:ascii="宋体" w:eastAsia="宋体"/>
                <w:sz w:val="24"/>
              </w:rPr>
              <w:t>（北京时间）</w:t>
            </w:r>
          </w:p>
          <w:p w14:paraId="1CFA0EC7">
            <w:pPr>
              <w:widowControl/>
              <w:spacing w:line="420" w:lineRule="exact"/>
              <w:rPr>
                <w:rFonts w:ascii="宋体" w:eastAsia="宋体"/>
                <w:sz w:val="24"/>
              </w:rPr>
            </w:pPr>
            <w:r>
              <w:rPr>
                <w:rFonts w:hint="eastAsia" w:ascii="宋体" w:eastAsia="宋体"/>
                <w:sz w:val="24"/>
              </w:rPr>
              <w:t>招募响应文件递交截止时间：</w:t>
            </w:r>
            <w:r>
              <w:rPr>
                <w:rFonts w:hint="eastAsia" w:ascii="宋体"/>
                <w:color w:val="000000" w:themeColor="text1"/>
                <w:sz w:val="24"/>
                <w:u w:val="single"/>
                <w14:textFill>
                  <w14:solidFill>
                    <w14:schemeClr w14:val="tx1"/>
                  </w14:solidFill>
                </w14:textFill>
              </w:rPr>
              <w:t>2025</w:t>
            </w:r>
            <w:r>
              <w:rPr>
                <w:rFonts w:hint="eastAsia" w:ascii="宋体" w:eastAsia="宋体"/>
                <w:color w:val="000000" w:themeColor="text1"/>
                <w:spacing w:val="-4"/>
                <w:sz w:val="24"/>
                <w:u w:val="single"/>
                <w14:textFill>
                  <w14:solidFill>
                    <w14:schemeClr w14:val="tx1"/>
                  </w14:solidFill>
                </w14:textFill>
              </w:rPr>
              <w:t>年12月</w:t>
            </w:r>
            <w:r>
              <w:rPr>
                <w:rFonts w:hint="eastAsia" w:ascii="宋体" w:eastAsia="宋体"/>
                <w:color w:val="000000" w:themeColor="text1"/>
                <w:spacing w:val="-4"/>
                <w:sz w:val="24"/>
                <w:u w:val="single"/>
                <w:lang w:val="en-US" w:eastAsia="zh-CN"/>
                <w14:textFill>
                  <w14:solidFill>
                    <w14:schemeClr w14:val="tx1"/>
                  </w14:solidFill>
                </w14:textFill>
              </w:rPr>
              <w:t>25</w:t>
            </w:r>
            <w:r>
              <w:rPr>
                <w:rFonts w:hint="eastAsia" w:ascii="宋体" w:eastAsia="宋体"/>
                <w:color w:val="000000" w:themeColor="text1"/>
                <w:spacing w:val="-4"/>
                <w:sz w:val="24"/>
                <w:u w:val="single"/>
                <w14:textFill>
                  <w14:solidFill>
                    <w14:schemeClr w14:val="tx1"/>
                  </w14:solidFill>
                </w14:textFill>
              </w:rPr>
              <w:t>日</w:t>
            </w:r>
            <w:r>
              <w:rPr>
                <w:rFonts w:hint="eastAsia" w:ascii="宋体" w:eastAsia="宋体"/>
                <w:spacing w:val="-4"/>
                <w:sz w:val="24"/>
                <w:u w:val="single"/>
              </w:rPr>
              <w:t>下</w:t>
            </w:r>
            <w:r>
              <w:rPr>
                <w:rFonts w:hint="eastAsia" w:ascii="宋体" w:eastAsia="宋体"/>
                <w:sz w:val="24"/>
                <w:u w:val="single"/>
              </w:rPr>
              <w:t>午17:</w:t>
            </w:r>
            <w:r>
              <w:rPr>
                <w:rFonts w:hint="eastAsia" w:ascii="宋体"/>
                <w:sz w:val="24"/>
                <w:u w:val="single"/>
              </w:rPr>
              <w:t>0</w:t>
            </w:r>
            <w:r>
              <w:rPr>
                <w:rFonts w:hint="eastAsia" w:ascii="宋体" w:eastAsia="宋体"/>
                <w:sz w:val="24"/>
                <w:u w:val="single"/>
              </w:rPr>
              <w:t>0</w:t>
            </w:r>
            <w:r>
              <w:rPr>
                <w:rFonts w:hint="eastAsia" w:ascii="宋体" w:eastAsia="宋体"/>
                <w:sz w:val="24"/>
              </w:rPr>
              <w:t>（北京时间）</w:t>
            </w:r>
          </w:p>
        </w:tc>
      </w:tr>
      <w:tr w14:paraId="38F5A5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jc w:val="center"/>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2E31B3A">
            <w:pPr>
              <w:widowControl/>
              <w:spacing w:line="420" w:lineRule="exact"/>
              <w:jc w:val="center"/>
              <w:rPr>
                <w:rFonts w:ascii="宋体" w:eastAsia="宋体"/>
                <w:sz w:val="24"/>
              </w:rPr>
            </w:pPr>
            <w:r>
              <w:rPr>
                <w:rFonts w:hint="eastAsia" w:ascii="宋体" w:eastAsia="宋体"/>
                <w:sz w:val="24"/>
              </w:rPr>
              <w:t>5</w:t>
            </w:r>
          </w:p>
        </w:tc>
        <w:tc>
          <w:tcPr>
            <w:tcW w:w="1136" w:type="dxa"/>
            <w:tcBorders>
              <w:top w:val="single" w:color="auto" w:sz="4" w:space="0"/>
              <w:left w:val="nil"/>
              <w:bottom w:val="single" w:color="auto" w:sz="4" w:space="0"/>
              <w:right w:val="single" w:color="auto" w:sz="4" w:space="0"/>
              <w:tl2br w:val="nil"/>
              <w:tr2bl w:val="nil"/>
            </w:tcBorders>
            <w:vAlign w:val="center"/>
          </w:tcPr>
          <w:p w14:paraId="6E491278">
            <w:pPr>
              <w:widowControl/>
              <w:spacing w:line="420" w:lineRule="exact"/>
              <w:jc w:val="center"/>
              <w:rPr>
                <w:rFonts w:ascii="宋体" w:eastAsia="宋体"/>
                <w:sz w:val="24"/>
              </w:rPr>
            </w:pPr>
            <w:r>
              <w:rPr>
                <w:rFonts w:hint="eastAsia" w:ascii="宋体" w:eastAsia="宋体"/>
                <w:sz w:val="24"/>
              </w:rPr>
              <w:t>5.1</w:t>
            </w:r>
          </w:p>
        </w:tc>
        <w:tc>
          <w:tcPr>
            <w:tcW w:w="7383" w:type="dxa"/>
            <w:tcBorders>
              <w:top w:val="single" w:color="auto" w:sz="4" w:space="0"/>
              <w:left w:val="nil"/>
              <w:bottom w:val="single" w:color="auto" w:sz="4" w:space="0"/>
              <w:right w:val="single" w:color="auto" w:sz="4" w:space="0"/>
              <w:tl2br w:val="nil"/>
              <w:tr2bl w:val="nil"/>
            </w:tcBorders>
            <w:vAlign w:val="center"/>
          </w:tcPr>
          <w:p w14:paraId="60CAC0C8">
            <w:pPr>
              <w:pStyle w:val="16"/>
              <w:widowControl/>
              <w:spacing w:before="0" w:beforeAutospacing="0" w:after="0" w:afterAutospacing="0" w:line="420" w:lineRule="exact"/>
              <w:jc w:val="both"/>
              <w:rPr>
                <w:rFonts w:ascii="宋体" w:eastAsia="宋体"/>
                <w:b/>
              </w:rPr>
            </w:pPr>
            <w:r>
              <w:rPr>
                <w:rFonts w:hint="eastAsia" w:ascii="宋体" w:eastAsia="宋体"/>
                <w:b/>
              </w:rPr>
              <w:t>招募流程：</w:t>
            </w:r>
          </w:p>
          <w:p w14:paraId="491CB873">
            <w:pPr>
              <w:widowControl/>
              <w:spacing w:line="400" w:lineRule="exact"/>
              <w:rPr>
                <w:rFonts w:ascii="宋体" w:eastAsia="宋体"/>
                <w:sz w:val="24"/>
              </w:rPr>
            </w:pPr>
            <w:r>
              <w:rPr>
                <w:rFonts w:hint="eastAsia" w:ascii="宋体" w:eastAsia="宋体"/>
                <w:sz w:val="24"/>
              </w:rPr>
              <w:t>本次招募采用综合评分法（详见附件），重点从企业综合实力、合作分成比例等维度进行打分。招募中，通过资格审查的合作方数量大于1家的，综合评分最高的，与其进行商务谈判确认最终的合作条款；通过资格审查的合作方仅有1家，且合作方综合评分不低于80分，则与其进行商务谈判，确认最终的合作条款，合作条款不得低于合作方首次提供的招募文件中的合作服务承诺条款。</w:t>
            </w:r>
          </w:p>
          <w:p w14:paraId="2F6A049D">
            <w:pPr>
              <w:widowControl/>
              <w:spacing w:line="400" w:lineRule="exact"/>
              <w:rPr>
                <w:rFonts w:ascii="宋体" w:eastAsia="宋体"/>
                <w:sz w:val="24"/>
                <w:highlight w:val="green"/>
              </w:rPr>
            </w:pPr>
            <w:r>
              <w:rPr>
                <w:rFonts w:hint="eastAsia" w:ascii="宋体" w:eastAsia="宋体"/>
                <w:sz w:val="24"/>
              </w:rPr>
              <w:t>本次招募公示结束后，由广网融科公司经营评审小组根据各意向合作方递交的资料进行评比审定，对符合项目要求的意向合作方就项目实际情况进行打分、商务谈判，并以“网上公示”方式公布合作伙伴招募结果。</w:t>
            </w:r>
          </w:p>
        </w:tc>
      </w:tr>
      <w:tr w14:paraId="591D9B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jc w:val="center"/>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5C536E18">
            <w:pPr>
              <w:widowControl/>
              <w:spacing w:line="420" w:lineRule="exact"/>
              <w:jc w:val="center"/>
              <w:rPr>
                <w:rFonts w:ascii="Times New Roman" w:hAnsi="Times New Roman" w:eastAsia="宋体"/>
                <w:szCs w:val="21"/>
              </w:rPr>
            </w:pPr>
            <w:r>
              <w:rPr>
                <w:rFonts w:hint="eastAsia" w:ascii="Times New Roman" w:hAnsi="Times New Roman" w:eastAsia="宋体"/>
                <w:szCs w:val="21"/>
              </w:rPr>
              <w:t>6</w:t>
            </w:r>
          </w:p>
        </w:tc>
        <w:tc>
          <w:tcPr>
            <w:tcW w:w="1136" w:type="dxa"/>
            <w:tcBorders>
              <w:top w:val="single" w:color="auto" w:sz="4" w:space="0"/>
              <w:left w:val="nil"/>
              <w:bottom w:val="single" w:color="auto" w:sz="4" w:space="0"/>
              <w:right w:val="single" w:color="auto" w:sz="4" w:space="0"/>
              <w:tl2br w:val="nil"/>
              <w:tr2bl w:val="nil"/>
            </w:tcBorders>
            <w:vAlign w:val="center"/>
          </w:tcPr>
          <w:p w14:paraId="136FAAF1">
            <w:pPr>
              <w:widowControl/>
              <w:spacing w:line="420" w:lineRule="exact"/>
              <w:jc w:val="center"/>
              <w:rPr>
                <w:rFonts w:ascii="Times New Roman" w:hAnsi="Times New Roman" w:eastAsia="宋体"/>
                <w:szCs w:val="21"/>
              </w:rPr>
            </w:pPr>
            <w:r>
              <w:rPr>
                <w:rFonts w:hint="eastAsia" w:ascii="宋体" w:eastAsia="宋体"/>
                <w:sz w:val="24"/>
              </w:rPr>
              <w:t>6.1</w:t>
            </w:r>
          </w:p>
        </w:tc>
        <w:tc>
          <w:tcPr>
            <w:tcW w:w="7383" w:type="dxa"/>
            <w:tcBorders>
              <w:top w:val="single" w:color="auto" w:sz="4" w:space="0"/>
              <w:left w:val="nil"/>
              <w:bottom w:val="single" w:color="auto" w:sz="4" w:space="0"/>
              <w:right w:val="single" w:color="auto" w:sz="4" w:space="0"/>
              <w:tl2br w:val="nil"/>
              <w:tr2bl w:val="nil"/>
            </w:tcBorders>
            <w:vAlign w:val="center"/>
          </w:tcPr>
          <w:p w14:paraId="09A599E7">
            <w:pPr>
              <w:pStyle w:val="16"/>
              <w:widowControl/>
              <w:spacing w:before="0" w:beforeAutospacing="0" w:after="0" w:afterAutospacing="0" w:line="420" w:lineRule="exact"/>
              <w:jc w:val="both"/>
              <w:rPr>
                <w:rFonts w:ascii="Times New Roman" w:hAnsi="Times New Roman" w:eastAsia="宋体"/>
              </w:rPr>
            </w:pPr>
            <w:r>
              <w:rPr>
                <w:rFonts w:hint="eastAsia" w:ascii="宋体" w:eastAsia="宋体"/>
                <w:b/>
              </w:rPr>
              <w:t>项目咨询及其他</w:t>
            </w:r>
          </w:p>
          <w:p w14:paraId="33F72164">
            <w:pPr>
              <w:pStyle w:val="16"/>
              <w:widowControl/>
              <w:spacing w:before="0" w:beforeAutospacing="0" w:after="0" w:afterAutospacing="0" w:line="420" w:lineRule="exact"/>
              <w:ind w:firstLine="480" w:firstLineChars="200"/>
              <w:jc w:val="both"/>
              <w:rPr>
                <w:rFonts w:ascii="Times New Roman" w:hAnsi="Times New Roman" w:eastAsia="宋体"/>
              </w:rPr>
            </w:pPr>
            <w:r>
              <w:rPr>
                <w:rFonts w:hint="eastAsia" w:ascii="宋体" w:eastAsia="宋体"/>
                <w:bCs/>
              </w:rPr>
              <w:t>报价人为了解更多的项目基础资料和背景，可以与本项目的业主进行项目咨询和交流，</w:t>
            </w:r>
            <w:r>
              <w:rPr>
                <w:rFonts w:hint="eastAsia" w:ascii="宋体" w:eastAsia="宋体"/>
                <w:kern w:val="2"/>
              </w:rPr>
              <w:t>避免在报价时因理解不清而影响今后项目的实施。</w:t>
            </w:r>
          </w:p>
          <w:p w14:paraId="41F0D8F1">
            <w:pPr>
              <w:pStyle w:val="16"/>
              <w:widowControl/>
              <w:autoSpaceDE w:val="0"/>
              <w:autoSpaceDN w:val="0"/>
              <w:adjustRightInd w:val="0"/>
              <w:spacing w:before="0" w:beforeAutospacing="0" w:after="0" w:afterAutospacing="0" w:line="420" w:lineRule="exact"/>
              <w:ind w:firstLine="480" w:firstLineChars="200"/>
              <w:jc w:val="both"/>
              <w:rPr>
                <w:rFonts w:ascii="宋体"/>
                <w:kern w:val="2"/>
              </w:rPr>
            </w:pPr>
            <w:r>
              <w:rPr>
                <w:rFonts w:hint="eastAsia" w:ascii="宋体" w:eastAsia="宋体"/>
                <w:kern w:val="2"/>
              </w:rPr>
              <w:t>联系人：</w:t>
            </w:r>
            <w:r>
              <w:rPr>
                <w:rFonts w:hint="eastAsia" w:ascii="宋体"/>
              </w:rPr>
              <w:t>简女士</w:t>
            </w:r>
            <w:r>
              <w:rPr>
                <w:rFonts w:hint="eastAsia" w:ascii="宋体" w:eastAsia="宋体"/>
                <w:kern w:val="2"/>
              </w:rPr>
              <w:t xml:space="preserve">   联系电话：</w:t>
            </w:r>
            <w:r>
              <w:rPr>
                <w:rFonts w:hint="eastAsia" w:ascii="宋体" w:eastAsia="宋体"/>
                <w:shd w:val="clear" w:color="auto" w:fill="FFFFFF"/>
              </w:rPr>
              <w:t>192</w:t>
            </w:r>
            <w:r>
              <w:rPr>
                <w:rFonts w:ascii="宋体" w:eastAsia="宋体"/>
                <w:shd w:val="clear" w:color="auto" w:fill="FFFFFF"/>
              </w:rPr>
              <w:t>05906936</w:t>
            </w:r>
          </w:p>
        </w:tc>
      </w:tr>
      <w:tr w14:paraId="37CF5E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jc w:val="center"/>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001D363E">
            <w:pPr>
              <w:widowControl/>
              <w:spacing w:line="420" w:lineRule="exact"/>
              <w:jc w:val="center"/>
              <w:rPr>
                <w:rFonts w:ascii="Times New Roman" w:hAnsi="Times New Roman" w:eastAsia="宋体"/>
                <w:szCs w:val="21"/>
              </w:rPr>
            </w:pPr>
            <w:r>
              <w:rPr>
                <w:rFonts w:hint="eastAsia" w:ascii="Times New Roman" w:hAnsi="Times New Roman" w:eastAsia="宋体"/>
                <w:szCs w:val="21"/>
              </w:rPr>
              <w:t>7</w:t>
            </w:r>
          </w:p>
        </w:tc>
        <w:tc>
          <w:tcPr>
            <w:tcW w:w="1136" w:type="dxa"/>
            <w:tcBorders>
              <w:top w:val="single" w:color="auto" w:sz="4" w:space="0"/>
              <w:left w:val="nil"/>
              <w:bottom w:val="single" w:color="auto" w:sz="4" w:space="0"/>
              <w:right w:val="single" w:color="auto" w:sz="4" w:space="0"/>
              <w:tl2br w:val="nil"/>
              <w:tr2bl w:val="nil"/>
            </w:tcBorders>
            <w:vAlign w:val="center"/>
          </w:tcPr>
          <w:p w14:paraId="379E66F9">
            <w:pPr>
              <w:widowControl/>
              <w:spacing w:line="420" w:lineRule="exact"/>
              <w:jc w:val="center"/>
              <w:rPr>
                <w:rFonts w:ascii="Times New Roman" w:hAnsi="Times New Roman" w:eastAsia="宋体"/>
                <w:szCs w:val="21"/>
              </w:rPr>
            </w:pPr>
            <w:r>
              <w:rPr>
                <w:rFonts w:hint="eastAsia" w:ascii="宋体" w:eastAsia="宋体"/>
                <w:sz w:val="24"/>
              </w:rPr>
              <w:t>7.1</w:t>
            </w:r>
          </w:p>
        </w:tc>
        <w:tc>
          <w:tcPr>
            <w:tcW w:w="7383" w:type="dxa"/>
            <w:tcBorders>
              <w:top w:val="single" w:color="auto" w:sz="4" w:space="0"/>
              <w:left w:val="nil"/>
              <w:bottom w:val="single" w:color="auto" w:sz="4" w:space="0"/>
              <w:right w:val="single" w:color="auto" w:sz="4" w:space="0"/>
              <w:tl2br w:val="nil"/>
              <w:tr2bl w:val="nil"/>
            </w:tcBorders>
            <w:vAlign w:val="center"/>
          </w:tcPr>
          <w:p w14:paraId="252DED9D">
            <w:pPr>
              <w:widowControl/>
              <w:spacing w:line="380" w:lineRule="exact"/>
              <w:rPr>
                <w:rFonts w:ascii="Times New Roman" w:hAnsi="Times New Roman" w:eastAsia="宋体"/>
                <w:szCs w:val="21"/>
              </w:rPr>
            </w:pPr>
            <w:r>
              <w:rPr>
                <w:rFonts w:hint="eastAsia" w:ascii="宋体" w:eastAsia="宋体"/>
                <w:b/>
                <w:bCs/>
                <w:sz w:val="24"/>
              </w:rPr>
              <w:t>其他重要须知：</w:t>
            </w:r>
          </w:p>
          <w:p w14:paraId="6E7204A1">
            <w:pPr>
              <w:pStyle w:val="16"/>
              <w:widowControl/>
              <w:spacing w:before="0" w:beforeAutospacing="0" w:after="0" w:afterAutospacing="0" w:line="420" w:lineRule="exact"/>
              <w:ind w:firstLine="480" w:firstLineChars="200"/>
              <w:jc w:val="both"/>
              <w:rPr>
                <w:rFonts w:ascii="Times New Roman" w:hAnsi="Times New Roman" w:eastAsia="宋体"/>
              </w:rPr>
            </w:pPr>
            <w:r>
              <w:rPr>
                <w:rFonts w:hint="eastAsia" w:ascii="宋体" w:eastAsia="宋体"/>
                <w:kern w:val="2"/>
              </w:rPr>
              <w:t>(1)</w:t>
            </w:r>
            <w:r>
              <w:rPr>
                <w:rFonts w:hint="eastAsia" w:ascii="宋体"/>
                <w:kern w:val="2"/>
              </w:rPr>
              <w:t>合作方</w:t>
            </w:r>
            <w:r>
              <w:rPr>
                <w:rFonts w:hint="eastAsia" w:ascii="宋体" w:eastAsia="宋体"/>
                <w:kern w:val="2"/>
              </w:rPr>
              <w:t>必须对其文件中提供的各种资料、说明、承诺的真实性负责。在评审过程中，如有发现合作方有提供虚假资料欺骗买方和评委的行为，将取消其中选资格。若在中选后或签约时或执行合同过程中发现中选合作方是提供虚假材料谋取中选等违法违规行为或技术指标达不到</w:t>
            </w:r>
            <w:r>
              <w:rPr>
                <w:rFonts w:hint="eastAsia" w:ascii="宋体"/>
                <w:kern w:val="2"/>
              </w:rPr>
              <w:t>招募</w:t>
            </w:r>
            <w:r>
              <w:rPr>
                <w:rFonts w:hint="eastAsia" w:ascii="宋体" w:eastAsia="宋体"/>
                <w:kern w:val="2"/>
              </w:rPr>
              <w:t>技术要求，买方将取消其中选合作方资格，给买方造成损失的，还必须进行赔偿并负相关责任。</w:t>
            </w:r>
          </w:p>
          <w:p w14:paraId="388A6D35">
            <w:pPr>
              <w:pStyle w:val="16"/>
              <w:widowControl/>
              <w:spacing w:before="0" w:beforeAutospacing="0" w:after="0" w:afterAutospacing="0" w:line="420" w:lineRule="exact"/>
              <w:ind w:firstLine="480" w:firstLineChars="200"/>
              <w:jc w:val="both"/>
              <w:rPr>
                <w:rFonts w:ascii="Times New Roman" w:hAnsi="Times New Roman" w:eastAsia="宋体"/>
              </w:rPr>
            </w:pPr>
            <w:r>
              <w:rPr>
                <w:rFonts w:hint="eastAsia" w:ascii="宋体" w:eastAsia="宋体"/>
                <w:kern w:val="2"/>
              </w:rPr>
              <w:t>(2)合作方若中选，应保证其执行符合招募响应文件的承诺。</w:t>
            </w:r>
          </w:p>
          <w:p w14:paraId="59CA5045">
            <w:pPr>
              <w:pStyle w:val="16"/>
              <w:widowControl/>
              <w:spacing w:before="0" w:beforeAutospacing="0" w:after="0" w:afterAutospacing="0" w:line="420" w:lineRule="exact"/>
              <w:ind w:firstLine="480" w:firstLineChars="200"/>
              <w:jc w:val="both"/>
              <w:rPr>
                <w:rFonts w:ascii="宋体" w:eastAsia="宋体"/>
                <w:kern w:val="2"/>
              </w:rPr>
            </w:pPr>
            <w:r>
              <w:rPr>
                <w:rFonts w:hint="eastAsia" w:ascii="宋体" w:eastAsia="宋体"/>
                <w:kern w:val="2"/>
              </w:rPr>
              <w:t>(3)定标后，买方有可能对中选合作方和其招募响应文件中的承诺内容进行核查，中选合作方应无条件配合买方的核查工作，不得托词拒绝核查或隐瞒真实情况。若在中选后签订合同时，发现某个中选合作方有提供虚假材料或承诺谋取中选等违法违规行为或无实际履行合同的能力，买方将取消其中选合作方的资格，并按照排序的先后递补中选合作方。给买方造成损失的，还必须进行赔偿并负相关责任。</w:t>
            </w:r>
          </w:p>
        </w:tc>
      </w:tr>
    </w:tbl>
    <w:p w14:paraId="3AF44900">
      <w:pPr>
        <w:spacing w:line="580" w:lineRule="exact"/>
        <w:rPr>
          <w:rFonts w:ascii="黑体" w:hAnsi="黑体" w:eastAsia="黑体" w:cs="黑体"/>
          <w:sz w:val="24"/>
        </w:rPr>
      </w:pPr>
    </w:p>
    <w:p w14:paraId="2FBB75D5">
      <w:pPr>
        <w:spacing w:line="580" w:lineRule="exact"/>
        <w:rPr>
          <w:rFonts w:ascii="黑体" w:hAnsi="黑体" w:eastAsia="黑体" w:cs="黑体"/>
          <w:sz w:val="24"/>
        </w:rPr>
      </w:pPr>
    </w:p>
    <w:p w14:paraId="7033C46A">
      <w:pPr>
        <w:spacing w:line="580" w:lineRule="exact"/>
        <w:rPr>
          <w:rFonts w:ascii="黑体" w:hAnsi="黑体" w:eastAsia="黑体" w:cs="黑体"/>
          <w:sz w:val="24"/>
        </w:rPr>
      </w:pPr>
    </w:p>
    <w:p w14:paraId="78DE6F02">
      <w:pPr>
        <w:spacing w:line="580" w:lineRule="exact"/>
        <w:rPr>
          <w:rFonts w:ascii="黑体" w:hAnsi="黑体" w:eastAsia="黑体" w:cs="黑体"/>
          <w:sz w:val="24"/>
        </w:rPr>
      </w:pPr>
    </w:p>
    <w:p w14:paraId="15F8E84B">
      <w:pPr>
        <w:spacing w:line="580" w:lineRule="exact"/>
        <w:rPr>
          <w:rFonts w:ascii="黑体" w:hAnsi="黑体" w:eastAsia="黑体" w:cs="黑体"/>
          <w:sz w:val="24"/>
        </w:rPr>
      </w:pPr>
    </w:p>
    <w:p w14:paraId="3766AEB6">
      <w:pPr>
        <w:spacing w:line="580" w:lineRule="exact"/>
        <w:rPr>
          <w:rFonts w:ascii="黑体" w:hAnsi="黑体" w:eastAsia="黑体" w:cs="黑体"/>
          <w:sz w:val="24"/>
        </w:rPr>
      </w:pPr>
    </w:p>
    <w:p w14:paraId="2CDF9E0D">
      <w:pPr>
        <w:spacing w:line="580" w:lineRule="exact"/>
        <w:rPr>
          <w:rFonts w:ascii="黑体" w:hAnsi="黑体" w:eastAsia="黑体" w:cs="黑体"/>
          <w:sz w:val="24"/>
        </w:rPr>
      </w:pPr>
    </w:p>
    <w:p w14:paraId="7690BD05">
      <w:pPr>
        <w:spacing w:line="580" w:lineRule="exact"/>
        <w:rPr>
          <w:rFonts w:ascii="黑体" w:hAnsi="黑体" w:eastAsia="黑体" w:cs="黑体"/>
          <w:sz w:val="24"/>
        </w:rPr>
      </w:pPr>
    </w:p>
    <w:p w14:paraId="4022FA7A">
      <w:pPr>
        <w:spacing w:line="580" w:lineRule="exact"/>
        <w:rPr>
          <w:rFonts w:ascii="黑体" w:hAnsi="黑体" w:eastAsia="黑体" w:cs="黑体"/>
          <w:sz w:val="24"/>
        </w:rPr>
      </w:pPr>
    </w:p>
    <w:p w14:paraId="067D5DCB">
      <w:pPr>
        <w:spacing w:line="580" w:lineRule="exact"/>
        <w:rPr>
          <w:rFonts w:ascii="黑体" w:hAnsi="黑体" w:eastAsia="黑体" w:cs="黑体"/>
          <w:sz w:val="24"/>
        </w:rPr>
      </w:pPr>
    </w:p>
    <w:p w14:paraId="48ED00A3">
      <w:pPr>
        <w:spacing w:line="580" w:lineRule="exact"/>
        <w:rPr>
          <w:rFonts w:ascii="黑体" w:hAnsi="黑体" w:eastAsia="黑体" w:cs="黑体"/>
          <w:sz w:val="24"/>
        </w:rPr>
      </w:pPr>
    </w:p>
    <w:p w14:paraId="020A5A2A">
      <w:pPr>
        <w:spacing w:line="580" w:lineRule="exact"/>
        <w:rPr>
          <w:rFonts w:ascii="黑体" w:hAnsi="黑体" w:eastAsia="黑体" w:cs="黑体"/>
          <w:sz w:val="24"/>
        </w:rPr>
      </w:pPr>
    </w:p>
    <w:p w14:paraId="2FB7299C">
      <w:pPr>
        <w:spacing w:line="580" w:lineRule="exact"/>
        <w:rPr>
          <w:rFonts w:ascii="黑体" w:hAnsi="黑体" w:eastAsia="黑体" w:cs="黑体"/>
          <w:sz w:val="24"/>
        </w:rPr>
      </w:pPr>
    </w:p>
    <w:p w14:paraId="56A4DA67">
      <w:pPr>
        <w:spacing w:line="580" w:lineRule="exact"/>
        <w:rPr>
          <w:rFonts w:ascii="黑体" w:hAnsi="黑体" w:eastAsia="黑体" w:cs="黑体"/>
          <w:sz w:val="24"/>
        </w:rPr>
      </w:pPr>
    </w:p>
    <w:p w14:paraId="03BC7383">
      <w:pPr>
        <w:spacing w:line="580" w:lineRule="exact"/>
        <w:rPr>
          <w:rFonts w:ascii="黑体" w:hAnsi="黑体" w:eastAsia="黑体" w:cs="黑体"/>
          <w:sz w:val="24"/>
        </w:rPr>
      </w:pPr>
    </w:p>
    <w:p w14:paraId="19CD231F">
      <w:pPr>
        <w:spacing w:line="580" w:lineRule="exact"/>
        <w:rPr>
          <w:rFonts w:ascii="黑体" w:hAnsi="黑体" w:eastAsia="黑体" w:cs="黑体"/>
          <w:sz w:val="24"/>
        </w:rPr>
      </w:pPr>
    </w:p>
    <w:p w14:paraId="37B342D4">
      <w:pPr>
        <w:spacing w:line="580" w:lineRule="exact"/>
        <w:rPr>
          <w:rFonts w:ascii="黑体" w:hAnsi="黑体" w:eastAsia="黑体" w:cs="黑体"/>
          <w:sz w:val="24"/>
        </w:rPr>
      </w:pPr>
    </w:p>
    <w:p w14:paraId="60C65991">
      <w:pPr>
        <w:spacing w:line="580" w:lineRule="exact"/>
        <w:rPr>
          <w:rFonts w:ascii="黑体" w:hAnsi="黑体" w:eastAsia="黑体" w:cs="黑体"/>
          <w:sz w:val="24"/>
        </w:rPr>
      </w:pPr>
    </w:p>
    <w:p w14:paraId="25BAEF8F">
      <w:pPr>
        <w:spacing w:line="580" w:lineRule="exact"/>
        <w:rPr>
          <w:rFonts w:ascii="黑体" w:hAnsi="黑体" w:eastAsia="黑体" w:cs="黑体"/>
          <w:sz w:val="24"/>
        </w:rPr>
      </w:pPr>
    </w:p>
    <w:p w14:paraId="5307F935">
      <w:pPr>
        <w:spacing w:line="580" w:lineRule="exact"/>
        <w:rPr>
          <w:rFonts w:ascii="黑体" w:hAnsi="黑体" w:eastAsia="黑体" w:cs="黑体"/>
          <w:sz w:val="24"/>
        </w:rPr>
      </w:pPr>
    </w:p>
    <w:p w14:paraId="3647311C">
      <w:pPr>
        <w:spacing w:line="580" w:lineRule="exact"/>
        <w:rPr>
          <w:rFonts w:ascii="黑体" w:hAnsi="黑体" w:eastAsia="黑体" w:cs="黑体"/>
          <w:sz w:val="24"/>
        </w:rPr>
      </w:pPr>
    </w:p>
    <w:p w14:paraId="272E497B">
      <w:pPr>
        <w:spacing w:line="580" w:lineRule="exact"/>
        <w:rPr>
          <w:rFonts w:ascii="黑体" w:hAnsi="黑体" w:eastAsia="黑体" w:cs="黑体"/>
          <w:sz w:val="32"/>
          <w:szCs w:val="32"/>
        </w:rPr>
      </w:pPr>
      <w:r>
        <w:rPr>
          <w:rFonts w:hint="eastAsia" w:ascii="黑体" w:hAnsi="黑体" w:eastAsia="黑体" w:cs="黑体"/>
          <w:sz w:val="32"/>
          <w:szCs w:val="32"/>
        </w:rPr>
        <w:t>附件：合作方招募评分规则</w:t>
      </w:r>
    </w:p>
    <w:p w14:paraId="00A3F8E3">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本次招募采用综合评分法，根据以下标准和方法对通过资格审查的意向合作方进行评议。广网融科公司经营评审小组将对意向合作方从企业综合实力、合作分成比例两个部分别进行打分，计算出各意向合作方的综合得分。按综合得分从高到低的顺序进行排名。通过资格审查的合作方数量大于1家的，综合评分最高的，与其进行商务谈判确认最终的合作条款；通过资格审查的合作方仅有1家，且合作方综合评分不低于80分，则与其进行商务谈判，确认最终的合作条款。</w:t>
      </w:r>
    </w:p>
    <w:p w14:paraId="5B2A8021">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若有相同的综合得分，则其中合作分成比例利于我方的在前，若两部分得分均相同，则由广网融科公司经营评审小组记名投票确认合作方排序。</w:t>
      </w:r>
    </w:p>
    <w:p w14:paraId="1307E2B1">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各部分评分分值分布如下：</w:t>
      </w:r>
    </w:p>
    <w:p w14:paraId="48173248">
      <w:pPr>
        <w:spacing w:line="580" w:lineRule="exact"/>
        <w:ind w:firstLine="640" w:firstLineChars="200"/>
        <w:rPr>
          <w:rFonts w:ascii="仿宋_GB2312" w:hAnsi="仿宋" w:eastAsia="仿宋_GB2312"/>
          <w:kern w:val="0"/>
          <w:sz w:val="32"/>
          <w:szCs w:val="32"/>
        </w:rPr>
      </w:pPr>
      <w:r>
        <w:rPr>
          <w:rFonts w:hint="eastAsia" w:ascii="方正仿宋_GB2312" w:hAnsi="方正仿宋_GB2312" w:eastAsia="方正仿宋_GB2312" w:cs="方正仿宋_GB2312"/>
          <w:kern w:val="0"/>
          <w:sz w:val="32"/>
          <w:szCs w:val="32"/>
        </w:rPr>
        <w:t>A</w:t>
      </w:r>
      <w:r>
        <w:rPr>
          <w:rFonts w:hint="eastAsia" w:ascii="仿宋_GB2312" w:hAnsi="仿宋" w:eastAsia="仿宋_GB2312"/>
          <w:kern w:val="0"/>
          <w:sz w:val="32"/>
          <w:szCs w:val="32"/>
        </w:rPr>
        <w:t>：企业综合实力评分                  满分</w:t>
      </w:r>
      <w:r>
        <w:rPr>
          <w:rFonts w:ascii="Cambria" w:hAnsi="Cambria" w:eastAsia="方正仿宋_GB2312" w:cs="方正仿宋_GB2312"/>
          <w:kern w:val="0"/>
          <w:sz w:val="32"/>
          <w:szCs w:val="32"/>
        </w:rPr>
        <w:t>5</w:t>
      </w:r>
      <w:r>
        <w:rPr>
          <w:rFonts w:hint="eastAsia" w:ascii="方正仿宋_GB2312" w:hAnsi="方正仿宋_GB2312" w:eastAsia="方正仿宋_GB2312" w:cs="方正仿宋_GB2312"/>
          <w:kern w:val="0"/>
          <w:sz w:val="32"/>
          <w:szCs w:val="32"/>
        </w:rPr>
        <w:t>0</w:t>
      </w:r>
      <w:r>
        <w:rPr>
          <w:rFonts w:hint="eastAsia" w:ascii="仿宋_GB2312" w:hAnsi="仿宋" w:eastAsia="仿宋_GB2312"/>
          <w:kern w:val="0"/>
          <w:sz w:val="32"/>
          <w:szCs w:val="32"/>
        </w:rPr>
        <w:t>分</w:t>
      </w:r>
    </w:p>
    <w:p w14:paraId="30C8E956">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 xml:space="preserve">B：合作分成比例评分        </w:t>
      </w:r>
      <w:r>
        <w:rPr>
          <w:rFonts w:ascii="仿宋_GB2312" w:hAnsi="仿宋" w:eastAsia="仿宋_GB2312"/>
          <w:kern w:val="0"/>
          <w:sz w:val="32"/>
          <w:szCs w:val="32"/>
        </w:rPr>
        <w:t xml:space="preserve">          </w:t>
      </w:r>
      <w:r>
        <w:rPr>
          <w:rFonts w:hint="eastAsia" w:ascii="仿宋_GB2312" w:hAnsi="仿宋" w:eastAsia="仿宋_GB2312"/>
          <w:kern w:val="0"/>
          <w:sz w:val="32"/>
          <w:szCs w:val="32"/>
        </w:rPr>
        <w:t>满分</w:t>
      </w:r>
      <w:r>
        <w:rPr>
          <w:rFonts w:ascii="Cambria" w:hAnsi="Cambria" w:eastAsia="方正仿宋_GB2312" w:cs="方正仿宋_GB2312"/>
          <w:kern w:val="0"/>
          <w:sz w:val="32"/>
          <w:szCs w:val="32"/>
        </w:rPr>
        <w:t>5</w:t>
      </w:r>
      <w:r>
        <w:rPr>
          <w:rFonts w:hint="eastAsia" w:ascii="方正仿宋_GB2312" w:hAnsi="方正仿宋_GB2312" w:eastAsia="方正仿宋_GB2312" w:cs="方正仿宋_GB2312"/>
          <w:kern w:val="0"/>
          <w:sz w:val="32"/>
          <w:szCs w:val="32"/>
        </w:rPr>
        <w:t>0</w:t>
      </w:r>
      <w:r>
        <w:rPr>
          <w:rFonts w:hint="eastAsia" w:ascii="仿宋_GB2312" w:hAnsi="仿宋" w:eastAsia="仿宋_GB2312"/>
          <w:kern w:val="0"/>
          <w:sz w:val="32"/>
          <w:szCs w:val="32"/>
        </w:rPr>
        <w:t>分</w:t>
      </w:r>
    </w:p>
    <w:p w14:paraId="4B702D2D">
      <w:pPr>
        <w:spacing w:line="580" w:lineRule="exact"/>
        <w:ind w:firstLine="643" w:firstLineChars="200"/>
        <w:rPr>
          <w:rFonts w:ascii="仿宋_GB2312" w:hAnsi="仿宋" w:eastAsia="仿宋_GB2312"/>
          <w:b/>
          <w:bCs/>
          <w:kern w:val="0"/>
          <w:sz w:val="32"/>
          <w:szCs w:val="32"/>
        </w:rPr>
      </w:pPr>
      <w:r>
        <w:rPr>
          <w:rFonts w:hint="eastAsia" w:ascii="仿宋_GB2312" w:hAnsi="仿宋" w:eastAsia="仿宋_GB2312"/>
          <w:b/>
          <w:bCs/>
          <w:kern w:val="0"/>
          <w:sz w:val="32"/>
          <w:szCs w:val="32"/>
        </w:rPr>
        <w:t>综合得分：P＝A+B</w:t>
      </w:r>
    </w:p>
    <w:p w14:paraId="123FC38E">
      <w:pPr>
        <w:spacing w:line="580" w:lineRule="exact"/>
        <w:ind w:firstLine="643" w:firstLineChars="200"/>
        <w:rPr>
          <w:rFonts w:ascii="仿宋_GB2312" w:hAnsi="仿宋" w:eastAsia="仿宋_GB2312"/>
          <w:b/>
          <w:bCs/>
          <w:kern w:val="0"/>
          <w:sz w:val="32"/>
          <w:szCs w:val="32"/>
        </w:rPr>
      </w:pPr>
    </w:p>
    <w:p w14:paraId="60FDF9FC">
      <w:pPr>
        <w:spacing w:line="580" w:lineRule="exact"/>
        <w:ind w:firstLine="643" w:firstLineChars="200"/>
        <w:rPr>
          <w:rFonts w:ascii="仿宋_GB2312" w:hAnsi="仿宋" w:eastAsia="仿宋_GB2312"/>
          <w:b/>
          <w:bCs/>
          <w:kern w:val="0"/>
          <w:sz w:val="32"/>
          <w:szCs w:val="32"/>
        </w:rPr>
      </w:pPr>
    </w:p>
    <w:p w14:paraId="615D0C52">
      <w:pPr>
        <w:spacing w:line="580" w:lineRule="exact"/>
        <w:ind w:firstLine="643" w:firstLineChars="200"/>
        <w:rPr>
          <w:rFonts w:ascii="仿宋_GB2312" w:hAnsi="仿宋" w:eastAsia="仿宋_GB2312"/>
          <w:b/>
          <w:bCs/>
          <w:kern w:val="0"/>
          <w:sz w:val="32"/>
          <w:szCs w:val="32"/>
        </w:rPr>
      </w:pPr>
    </w:p>
    <w:p w14:paraId="09A914D9">
      <w:pPr>
        <w:spacing w:line="580" w:lineRule="exact"/>
        <w:ind w:firstLine="643" w:firstLineChars="200"/>
        <w:rPr>
          <w:rFonts w:ascii="仿宋_GB2312" w:hAnsi="仿宋" w:eastAsia="仿宋_GB2312"/>
          <w:b/>
          <w:bCs/>
          <w:kern w:val="0"/>
          <w:sz w:val="32"/>
          <w:szCs w:val="32"/>
        </w:rPr>
      </w:pPr>
    </w:p>
    <w:p w14:paraId="72830DBA">
      <w:pPr>
        <w:spacing w:line="580" w:lineRule="exact"/>
        <w:ind w:firstLine="643" w:firstLineChars="200"/>
        <w:rPr>
          <w:rFonts w:ascii="仿宋_GB2312" w:hAnsi="仿宋" w:eastAsia="仿宋_GB2312"/>
          <w:b/>
          <w:bCs/>
          <w:kern w:val="0"/>
          <w:sz w:val="32"/>
          <w:szCs w:val="32"/>
        </w:rPr>
      </w:pPr>
    </w:p>
    <w:p w14:paraId="1DD777BA">
      <w:pPr>
        <w:spacing w:line="580" w:lineRule="exact"/>
        <w:ind w:firstLine="643" w:firstLineChars="200"/>
        <w:rPr>
          <w:rFonts w:hint="eastAsia" w:ascii="仿宋_GB2312" w:hAnsi="仿宋" w:eastAsia="仿宋_GB2312"/>
          <w:b/>
          <w:bCs/>
          <w:kern w:val="0"/>
          <w:sz w:val="32"/>
          <w:szCs w:val="32"/>
        </w:rPr>
      </w:pPr>
    </w:p>
    <w:p w14:paraId="778C29FE">
      <w:pPr>
        <w:ind w:firstLine="8400" w:firstLineChars="3500"/>
        <w:jc w:val="left"/>
        <w:rPr>
          <w:rFonts w:ascii="宋体" w:hAnsi="宋体" w:eastAsia="宋体" w:cs="宋体"/>
          <w:kern w:val="0"/>
          <w:sz w:val="24"/>
        </w:rPr>
      </w:pPr>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080"/>
        <w:gridCol w:w="6357"/>
      </w:tblGrid>
      <w:tr w14:paraId="67F3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76" w:type="dxa"/>
            <w:shd w:val="clear" w:color="auto" w:fill="F2F2F2"/>
            <w:vAlign w:val="center"/>
          </w:tcPr>
          <w:p w14:paraId="6B85E606">
            <w:pPr>
              <w:widowControl/>
              <w:spacing w:line="276" w:lineRule="auto"/>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lang w:bidi="ar"/>
              </w:rPr>
              <w:t>评分部分</w:t>
            </w:r>
          </w:p>
        </w:tc>
        <w:tc>
          <w:tcPr>
            <w:tcW w:w="7439" w:type="dxa"/>
            <w:gridSpan w:val="2"/>
            <w:shd w:val="clear" w:color="auto" w:fill="F2F2F2"/>
            <w:vAlign w:val="center"/>
          </w:tcPr>
          <w:p w14:paraId="31B774FB">
            <w:pPr>
              <w:widowControl/>
              <w:spacing w:line="276" w:lineRule="auto"/>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lang w:bidi="ar"/>
              </w:rPr>
              <w:t>评分细则</w:t>
            </w:r>
          </w:p>
        </w:tc>
      </w:tr>
      <w:tr w14:paraId="0C1D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5" w:hRule="atLeast"/>
        </w:trPr>
        <w:tc>
          <w:tcPr>
            <w:tcW w:w="1076" w:type="dxa"/>
            <w:vAlign w:val="center"/>
          </w:tcPr>
          <w:p w14:paraId="31CF25C3">
            <w:pPr>
              <w:widowControl/>
              <w:numPr>
                <w:ilvl w:val="0"/>
                <w:numId w:val="1"/>
              </w:numPr>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b/>
                <w:bCs/>
                <w:color w:val="000000"/>
                <w:kern w:val="0"/>
                <w:sz w:val="24"/>
                <w:lang w:bidi="ar"/>
              </w:rPr>
              <w:t>企业综合实力评分（50分）</w:t>
            </w:r>
          </w:p>
        </w:tc>
        <w:tc>
          <w:tcPr>
            <w:tcW w:w="1080" w:type="dxa"/>
            <w:vAlign w:val="center"/>
          </w:tcPr>
          <w:p w14:paraId="1751D204">
            <w:pPr>
              <w:widowControl/>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A1:公司</w:t>
            </w:r>
          </w:p>
          <w:p w14:paraId="646FDCEB">
            <w:pPr>
              <w:widowControl/>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实力</w:t>
            </w:r>
          </w:p>
          <w:p w14:paraId="64EEC594">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(50分)</w:t>
            </w:r>
          </w:p>
        </w:tc>
        <w:tc>
          <w:tcPr>
            <w:tcW w:w="6359" w:type="dxa"/>
            <w:vAlign w:val="center"/>
          </w:tcPr>
          <w:p w14:paraId="3B41BBB5">
            <w:pPr>
              <w:widowControl/>
              <w:spacing w:line="276" w:lineRule="auto"/>
              <w:textAlignment w:val="center"/>
              <w:rPr>
                <w:rFonts w:hint="eastAsia" w:asciiTheme="minorEastAsia" w:hAnsiTheme="minorEastAsia" w:cstheme="minorEastAsia"/>
                <w:b/>
                <w:bCs/>
                <w:color w:val="FF0000"/>
                <w:sz w:val="24"/>
              </w:rPr>
            </w:pPr>
          </w:p>
          <w:p w14:paraId="2DDCAFEE">
            <w:pPr>
              <w:widowControl/>
              <w:numPr>
                <w:ilvl w:val="0"/>
                <w:numId w:val="2"/>
              </w:numPr>
              <w:spacing w:line="276" w:lineRule="auto"/>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客户服务经验：合作方需提供近3年（2023年1月1日至今）服务机关、企事业单位客户案例证明。其中提供省、市直客户的合同或订单达到20家的得1</w:t>
            </w:r>
            <w:r>
              <w:rPr>
                <w:rFonts w:asciiTheme="minorEastAsia" w:hAnsiTheme="minorEastAsia" w:cstheme="minorEastAsia"/>
                <w:kern w:val="0"/>
                <w:sz w:val="24"/>
                <w:lang w:bidi="ar"/>
              </w:rPr>
              <w:t>0</w:t>
            </w:r>
            <w:r>
              <w:rPr>
                <w:rFonts w:hint="eastAsia" w:asciiTheme="minorEastAsia" w:hAnsiTheme="minorEastAsia" w:cstheme="minorEastAsia"/>
                <w:kern w:val="0"/>
                <w:sz w:val="24"/>
                <w:lang w:bidi="ar"/>
              </w:rPr>
              <w:t>分，每多提供1家省、市直客户的案例证明，加1分，本项累计最高加5分，满分</w:t>
            </w:r>
            <w:r>
              <w:rPr>
                <w:rFonts w:asciiTheme="minorEastAsia" w:hAnsiTheme="minorEastAsia" w:cstheme="minorEastAsia"/>
                <w:kern w:val="0"/>
                <w:sz w:val="24"/>
                <w:lang w:bidi="ar"/>
              </w:rPr>
              <w:t>1</w:t>
            </w:r>
            <w:r>
              <w:rPr>
                <w:rFonts w:hint="eastAsia" w:asciiTheme="minorEastAsia" w:hAnsiTheme="minorEastAsia" w:cstheme="minorEastAsia"/>
                <w:kern w:val="0"/>
                <w:sz w:val="24"/>
                <w:lang w:bidi="ar"/>
              </w:rPr>
              <w:t>5分。每少</w:t>
            </w:r>
            <w:r>
              <w:rPr>
                <w:rFonts w:asciiTheme="minorEastAsia" w:hAnsiTheme="minorEastAsia" w:cstheme="minorEastAsia"/>
                <w:kern w:val="0"/>
                <w:sz w:val="24"/>
                <w:lang w:bidi="ar"/>
              </w:rPr>
              <w:t>1</w:t>
            </w:r>
            <w:r>
              <w:rPr>
                <w:rFonts w:hint="eastAsia" w:asciiTheme="minorEastAsia" w:hAnsiTheme="minorEastAsia" w:cstheme="minorEastAsia"/>
                <w:kern w:val="0"/>
                <w:sz w:val="24"/>
                <w:lang w:bidi="ar"/>
              </w:rPr>
              <w:t>家1分，扣完为止。</w:t>
            </w:r>
          </w:p>
          <w:p w14:paraId="6FD0C1D9">
            <w:pPr>
              <w:widowControl/>
              <w:numPr>
                <w:ilvl w:val="255"/>
                <w:numId w:val="0"/>
              </w:numPr>
              <w:spacing w:line="276" w:lineRule="auto"/>
              <w:textAlignment w:val="center"/>
              <w:rPr>
                <w:rFonts w:hint="eastAsia" w:asciiTheme="minorEastAsia" w:hAnsiTheme="minorEastAsia" w:cstheme="minorEastAsia"/>
                <w:b/>
                <w:bCs/>
                <w:kern w:val="0"/>
                <w:sz w:val="24"/>
                <w:lang w:bidi="ar"/>
              </w:rPr>
              <w:pPrChange w:id="0" w:author="一苛" w:date="2025-12-12T10:01:00Z">
                <w:pPr>
                  <w:widowControl/>
                  <w:spacing w:line="276" w:lineRule="auto"/>
                  <w:textAlignment w:val="center"/>
                </w:pPr>
              </w:pPrChange>
            </w:pPr>
            <w:r>
              <w:rPr>
                <w:rFonts w:hint="eastAsia" w:asciiTheme="minorEastAsia" w:hAnsiTheme="minorEastAsia" w:cstheme="minorEastAsia"/>
                <w:b/>
                <w:bCs/>
                <w:kern w:val="0"/>
                <w:sz w:val="24"/>
                <w:lang w:bidi="ar"/>
              </w:rPr>
              <w:t>注：合作方需提供上述合同或订单的关键页复印件（体现客户名称、服务内容、签订时间及双方签章），否则不得分。</w:t>
            </w:r>
          </w:p>
          <w:p w14:paraId="5BD03F18">
            <w:pPr>
              <w:widowControl/>
              <w:numPr>
                <w:ilvl w:val="0"/>
                <w:numId w:val="2"/>
              </w:numPr>
              <w:spacing w:line="276" w:lineRule="auto"/>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标准化建设：合作方主导与制定已发布的“智融业务”相关团体标准的得10分。不提供或不满足要求的该项不得分。</w:t>
            </w:r>
          </w:p>
          <w:p w14:paraId="6B136D81">
            <w:pPr>
              <w:widowControl/>
              <w:numPr>
                <w:ilvl w:val="255"/>
                <w:numId w:val="0"/>
              </w:numPr>
              <w:spacing w:line="276" w:lineRule="auto"/>
              <w:textAlignment w:val="center"/>
              <w:rPr>
                <w:ins w:id="2" w:author="一苛" w:date="2025-12-12T10:01:00Z"/>
                <w:rFonts w:hint="eastAsia" w:asciiTheme="minorEastAsia" w:hAnsiTheme="minorEastAsia" w:cstheme="minorEastAsia"/>
                <w:b/>
                <w:bCs/>
                <w:kern w:val="0"/>
                <w:sz w:val="24"/>
                <w:lang w:bidi="ar"/>
              </w:rPr>
              <w:pPrChange w:id="1" w:author="一苛" w:date="2025-12-12T10:01:00Z">
                <w:pPr>
                  <w:widowControl/>
                  <w:spacing w:line="276" w:lineRule="auto"/>
                  <w:textAlignment w:val="center"/>
                </w:pPr>
              </w:pPrChange>
            </w:pPr>
            <w:r>
              <w:rPr>
                <w:rFonts w:hint="eastAsia" w:asciiTheme="minorEastAsia" w:hAnsiTheme="minorEastAsia" w:cstheme="minorEastAsia"/>
                <w:b/>
                <w:bCs/>
                <w:kern w:val="0"/>
                <w:sz w:val="24"/>
                <w:lang w:bidi="ar"/>
              </w:rPr>
              <w:t>注：合作方需提供标准发布查询页面、标准文本封面、前言等关键页复印件并加盖单位公章，否则不得分。</w:t>
            </w:r>
          </w:p>
          <w:p w14:paraId="2D74DF92">
            <w:pPr>
              <w:widowControl/>
              <w:numPr>
                <w:ilvl w:val="0"/>
                <w:numId w:val="2"/>
              </w:numPr>
              <w:spacing w:line="276" w:lineRule="auto"/>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知识产权情况：合作方近3年（2023年1月1日至今）登记有效的软件著作权数量达到1</w:t>
            </w:r>
            <w:r>
              <w:rPr>
                <w:rFonts w:asciiTheme="minorEastAsia" w:hAnsiTheme="minorEastAsia" w:cstheme="minorEastAsia"/>
                <w:kern w:val="0"/>
                <w:sz w:val="24"/>
                <w:lang w:bidi="ar"/>
              </w:rPr>
              <w:t>0</w:t>
            </w:r>
            <w:r>
              <w:rPr>
                <w:rFonts w:hint="eastAsia" w:asciiTheme="minorEastAsia" w:hAnsiTheme="minorEastAsia" w:cstheme="minorEastAsia"/>
                <w:kern w:val="0"/>
                <w:sz w:val="24"/>
                <w:lang w:bidi="ar"/>
              </w:rPr>
              <w:t>个及以上得</w:t>
            </w:r>
            <w:r>
              <w:rPr>
                <w:rFonts w:asciiTheme="minorEastAsia" w:hAnsiTheme="minorEastAsia" w:cstheme="minorEastAsia"/>
                <w:kern w:val="0"/>
                <w:sz w:val="24"/>
                <w:lang w:bidi="ar"/>
              </w:rPr>
              <w:t>10</w:t>
            </w:r>
            <w:r>
              <w:rPr>
                <w:rFonts w:hint="eastAsia" w:asciiTheme="minorEastAsia" w:hAnsiTheme="minorEastAsia" w:cstheme="minorEastAsia"/>
                <w:kern w:val="0"/>
                <w:sz w:val="24"/>
                <w:lang w:bidi="ar"/>
              </w:rPr>
              <w:t xml:space="preserve"> 分。拥有的发明专利达到3个及以上得</w:t>
            </w:r>
            <w:r>
              <w:rPr>
                <w:rFonts w:asciiTheme="minorEastAsia" w:hAnsiTheme="minorEastAsia" w:cstheme="minorEastAsia"/>
                <w:kern w:val="0"/>
                <w:sz w:val="24"/>
                <w:lang w:bidi="ar"/>
              </w:rPr>
              <w:t>10</w:t>
            </w:r>
            <w:r>
              <w:rPr>
                <w:rFonts w:hint="eastAsia" w:asciiTheme="minorEastAsia" w:hAnsiTheme="minorEastAsia" w:cstheme="minorEastAsia"/>
                <w:kern w:val="0"/>
                <w:sz w:val="24"/>
                <w:lang w:bidi="ar"/>
              </w:rPr>
              <w:t>分。未达到数量要求或未能提供有效证明者不得分。</w:t>
            </w:r>
          </w:p>
          <w:p w14:paraId="7AD23C26">
            <w:pPr>
              <w:widowControl/>
              <w:numPr>
                <w:ilvl w:val="255"/>
                <w:numId w:val="0"/>
              </w:numPr>
              <w:spacing w:line="276" w:lineRule="auto"/>
              <w:textAlignment w:val="center"/>
              <w:rPr>
                <w:rFonts w:asciiTheme="minorEastAsia" w:hAnsiTheme="minorEastAsia" w:cstheme="minorEastAsia"/>
                <w:b/>
                <w:bCs/>
                <w:kern w:val="0"/>
                <w:sz w:val="24"/>
                <w:lang w:bidi="ar"/>
              </w:rPr>
              <w:pPrChange w:id="3" w:author="一苛" w:date="2025-12-12T10:04:00Z">
                <w:pPr>
                  <w:widowControl/>
                  <w:spacing w:line="276" w:lineRule="auto"/>
                  <w:textAlignment w:val="center"/>
                </w:pPr>
              </w:pPrChange>
            </w:pPr>
            <w:r>
              <w:rPr>
                <w:rFonts w:hint="eastAsia" w:asciiTheme="minorEastAsia" w:hAnsiTheme="minorEastAsia" w:cstheme="minorEastAsia"/>
                <w:b/>
                <w:bCs/>
                <w:kern w:val="0"/>
                <w:sz w:val="24"/>
                <w:lang w:bidi="ar"/>
              </w:rPr>
              <w:t>注：合作方需提供软件著作权证书、专利证书复印件（若为申请中专利，提供《专利申请受理通知书》或其他已进入后续法定程序的官方通知书复印件并加盖单位公章）并加盖单位公章，否则不得分。</w:t>
            </w:r>
          </w:p>
          <w:p w14:paraId="691A3F4E">
            <w:pPr>
              <w:widowControl/>
              <w:numPr>
                <w:ilvl w:val="0"/>
                <w:numId w:val="2"/>
              </w:numPr>
              <w:spacing w:line="276" w:lineRule="auto"/>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内容审核专业能力：合作方须具备专业的内容审核人员，需提供有效的“内容审核人员”证书和“网络视听节目审核员”证书并加盖单位公章，并附该人员招募响应文件递交截止日前3个月的社保证明。提供有效证明者得5分。不提供或不满足要求不得分。</w:t>
            </w:r>
          </w:p>
          <w:p w14:paraId="7676AAFA">
            <w:pPr>
              <w:widowControl/>
              <w:numPr>
                <w:ilvl w:val="255"/>
                <w:numId w:val="0"/>
              </w:numPr>
              <w:spacing w:line="276" w:lineRule="auto"/>
              <w:textAlignment w:val="center"/>
              <w:rPr>
                <w:rFonts w:asciiTheme="minorEastAsia" w:hAnsiTheme="minorEastAsia" w:cstheme="minorEastAsia"/>
                <w:b/>
                <w:bCs/>
                <w:kern w:val="0"/>
                <w:sz w:val="24"/>
                <w:lang w:bidi="ar"/>
              </w:rPr>
            </w:pPr>
            <w:r>
              <w:rPr>
                <w:rFonts w:hint="eastAsia" w:asciiTheme="minorEastAsia" w:hAnsiTheme="minorEastAsia" w:cstheme="minorEastAsia"/>
                <w:b/>
                <w:bCs/>
                <w:kern w:val="0"/>
                <w:sz w:val="24"/>
                <w:lang w:bidi="ar"/>
              </w:rPr>
              <w:t>注：若所述人员为关联企业的员工，除上述人员证书及社保证明外，还须提供双方关联关系的有效证明，如股权结构图等并加盖单位公章，否则不得分。</w:t>
            </w:r>
          </w:p>
          <w:p w14:paraId="15B9B532">
            <w:pPr>
              <w:widowControl/>
              <w:numPr>
                <w:ilvl w:val="255"/>
                <w:numId w:val="0"/>
              </w:numPr>
              <w:spacing w:line="276" w:lineRule="auto"/>
              <w:textAlignment w:val="center"/>
              <w:rPr>
                <w:rFonts w:asciiTheme="minorEastAsia" w:hAnsiTheme="minorEastAsia" w:cstheme="minorEastAsia"/>
                <w:kern w:val="0"/>
                <w:sz w:val="24"/>
                <w:lang w:bidi="ar"/>
              </w:rPr>
            </w:pPr>
          </w:p>
        </w:tc>
      </w:tr>
    </w:tbl>
    <w:p w14:paraId="00E1D9B4">
      <w:pPr>
        <w:widowControl/>
        <w:spacing w:line="276" w:lineRule="auto"/>
        <w:jc w:val="center"/>
        <w:textAlignment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br w:type="page"/>
      </w:r>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080"/>
        <w:gridCol w:w="6357"/>
      </w:tblGrid>
      <w:tr w14:paraId="35F5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76" w:type="dxa"/>
            <w:vAlign w:val="center"/>
          </w:tcPr>
          <w:p w14:paraId="56F1D3EB">
            <w:pPr>
              <w:widowControl/>
              <w:spacing w:line="276" w:lineRule="auto"/>
              <w:jc w:val="center"/>
              <w:textAlignment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B：合作分成比例评分</w:t>
            </w:r>
          </w:p>
          <w:p w14:paraId="292DA51A">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b/>
                <w:bCs/>
                <w:color w:val="000000"/>
                <w:kern w:val="0"/>
                <w:sz w:val="24"/>
                <w:lang w:bidi="ar"/>
              </w:rPr>
              <w:t>（50分）</w:t>
            </w:r>
          </w:p>
        </w:tc>
        <w:tc>
          <w:tcPr>
            <w:tcW w:w="1080" w:type="dxa"/>
            <w:vAlign w:val="center"/>
          </w:tcPr>
          <w:p w14:paraId="6D846FCB">
            <w:pPr>
              <w:widowControl/>
              <w:spacing w:line="276" w:lineRule="auto"/>
              <w:jc w:val="center"/>
              <w:textAlignment w:val="center"/>
              <w:rPr>
                <w:rFonts w:asciiTheme="minorEastAsia" w:hAnsiTheme="minorEastAsia" w:cstheme="minorEastAsia"/>
                <w:sz w:val="24"/>
              </w:rPr>
            </w:pPr>
            <w:r>
              <w:rPr>
                <w:rFonts w:hint="eastAsia" w:asciiTheme="minorEastAsia" w:hAnsiTheme="minorEastAsia" w:cstheme="minorEastAsia"/>
                <w:sz w:val="24"/>
              </w:rPr>
              <w:t>B1：合作分成比例</w:t>
            </w:r>
          </w:p>
          <w:p w14:paraId="6352ACDB">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sz w:val="24"/>
              </w:rPr>
              <w:t>（50分）</w:t>
            </w:r>
          </w:p>
        </w:tc>
        <w:tc>
          <w:tcPr>
            <w:tcW w:w="6359" w:type="dxa"/>
            <w:vAlign w:val="center"/>
          </w:tcPr>
          <w:p w14:paraId="29A2C619">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本项目招募的合作方需对合作分成比例做出承诺，具体评分方法如下：</w:t>
            </w:r>
          </w:p>
          <w:p w14:paraId="4D171298">
            <w:pPr>
              <w:widowControl/>
              <w:spacing w:line="276" w:lineRule="auto"/>
              <w:jc w:val="left"/>
              <w:textAlignment w:val="center"/>
              <w:rPr>
                <w:rFonts w:asciiTheme="minorEastAsia" w:hAnsiTheme="minorEastAsia" w:cstheme="minorEastAsia"/>
                <w:color w:val="000000"/>
                <w:sz w:val="24"/>
              </w:rPr>
            </w:pPr>
          </w:p>
          <w:p w14:paraId="3E3D4F5A">
            <w:pPr>
              <w:widowControl/>
              <w:spacing w:line="276" w:lineRule="auto"/>
              <w:jc w:val="left"/>
              <w:textAlignment w:val="center"/>
              <w:rPr>
                <w:rFonts w:ascii="宋体" w:hAnsi="宋体" w:eastAsia="宋体" w:cs="宋体"/>
                <w:b/>
                <w:bCs/>
                <w:sz w:val="24"/>
              </w:rPr>
            </w:pPr>
            <w:r>
              <w:rPr>
                <w:rFonts w:hint="eastAsia" w:asciiTheme="minorEastAsia" w:hAnsiTheme="minorEastAsia" w:cstheme="minorEastAsia"/>
                <w:b/>
                <w:bCs/>
                <w:color w:val="000000"/>
                <w:sz w:val="24"/>
              </w:rPr>
              <w:t>意向合作方该项目得分</w:t>
            </w:r>
            <w:r>
              <w:rPr>
                <w:rFonts w:hint="eastAsia" w:asciiTheme="minorEastAsia" w:hAnsiTheme="minorEastAsia" w:cstheme="minorEastAsia"/>
                <w:color w:val="000000"/>
                <w:sz w:val="24"/>
              </w:rPr>
              <w:t>=</w:t>
            </w:r>
            <w:r>
              <w:rPr>
                <w:rFonts w:hint="eastAsia" w:ascii="宋体" w:hAnsi="宋体" w:cs="宋体"/>
                <w:sz w:val="24"/>
              </w:rPr>
              <w:t>各意向合作方所报</w:t>
            </w:r>
            <w:r>
              <w:rPr>
                <w:rFonts w:hint="eastAsia" w:ascii="宋体" w:hAnsi="宋体" w:cs="宋体"/>
                <w:b/>
                <w:bCs/>
                <w:sz w:val="24"/>
              </w:rPr>
              <w:t>合作分成所得比例的最低值</w:t>
            </w:r>
            <w:r>
              <w:rPr>
                <w:rFonts w:hint="eastAsia" w:ascii="宋体" w:hAnsi="宋体" w:cs="宋体"/>
                <w:sz w:val="24"/>
              </w:rPr>
              <w:t>/该意向合作方所报的</w:t>
            </w:r>
            <w:r>
              <w:rPr>
                <w:rFonts w:hint="eastAsia" w:ascii="宋体" w:hAnsi="宋体" w:cs="宋体"/>
                <w:b/>
                <w:bCs/>
                <w:sz w:val="24"/>
              </w:rPr>
              <w:t>合作分成比例</w:t>
            </w:r>
            <w:r>
              <w:rPr>
                <w:rFonts w:hint="eastAsia" w:asciiTheme="minorEastAsia" w:hAnsiTheme="minorEastAsia" w:cstheme="minorEastAsia"/>
                <w:color w:val="000000"/>
                <w:sz w:val="24"/>
              </w:rPr>
              <w:t>*</w:t>
            </w:r>
            <w:r>
              <w:rPr>
                <w:rFonts w:hint="eastAsia" w:ascii="宋体" w:hAnsi="宋体" w:eastAsia="宋体" w:cs="宋体"/>
                <w:sz w:val="24"/>
              </w:rPr>
              <w:t>5</w:t>
            </w:r>
            <w:r>
              <w:rPr>
                <w:rFonts w:ascii="宋体" w:hAnsi="宋体" w:eastAsia="宋体" w:cs="宋体"/>
                <w:sz w:val="24"/>
              </w:rPr>
              <w:t>0</w:t>
            </w:r>
          </w:p>
          <w:p w14:paraId="21735913">
            <w:pPr>
              <w:rPr>
                <w:rFonts w:ascii="宋体" w:hAnsi="宋体" w:eastAsia="宋体" w:cs="宋体"/>
                <w:b/>
                <w:bCs/>
                <w:sz w:val="24"/>
              </w:rPr>
            </w:pPr>
          </w:p>
          <w:p w14:paraId="6F5B3AF6">
            <w:pPr>
              <w:numPr>
                <w:ilvl w:val="0"/>
                <w:numId w:val="3"/>
              </w:numPr>
              <w:rPr>
                <w:rFonts w:ascii="宋体" w:hAnsi="宋体" w:eastAsia="宋体" w:cs="宋体"/>
                <w:b/>
                <w:bCs/>
                <w:sz w:val="24"/>
              </w:rPr>
            </w:pPr>
            <w:r>
              <w:rPr>
                <w:rFonts w:hint="eastAsia" w:ascii="宋体" w:hAnsi="宋体" w:eastAsia="宋体" w:cs="宋体"/>
                <w:sz w:val="24"/>
              </w:rPr>
              <w:t>计算得分时四舍五入取小数点后两位。</w:t>
            </w:r>
          </w:p>
          <w:p w14:paraId="5BDA6B9C">
            <w:pPr>
              <w:rPr>
                <w:rFonts w:ascii="宋体" w:hAnsi="宋体" w:eastAsia="宋体" w:cs="宋体"/>
                <w:b/>
                <w:bCs/>
                <w:sz w:val="24"/>
              </w:rPr>
            </w:pPr>
          </w:p>
          <w:p w14:paraId="493B62DA">
            <w:pPr>
              <w:numPr>
                <w:ilvl w:val="0"/>
                <w:numId w:val="3"/>
              </w:numPr>
              <w:rPr>
                <w:rFonts w:ascii="宋体" w:hAnsi="宋体" w:eastAsia="宋体" w:cs="宋体"/>
                <w:b/>
                <w:bCs/>
                <w:sz w:val="24"/>
              </w:rPr>
            </w:pPr>
            <w:r>
              <w:rPr>
                <w:rFonts w:hint="eastAsia"/>
                <w:sz w:val="24"/>
              </w:rPr>
              <w:t>合作方提供合作服务承诺函，并加盖单位公章。</w:t>
            </w:r>
          </w:p>
          <w:p w14:paraId="33FDC5D4">
            <w:pPr>
              <w:widowControl/>
              <w:spacing w:line="276" w:lineRule="auto"/>
              <w:textAlignment w:val="center"/>
              <w:rPr>
                <w:rFonts w:asciiTheme="minorEastAsia" w:hAnsiTheme="minorEastAsia" w:cstheme="minorEastAsia"/>
                <w:color w:val="000000"/>
                <w:sz w:val="24"/>
              </w:rPr>
            </w:pPr>
          </w:p>
        </w:tc>
      </w:tr>
      <w:tr w14:paraId="4902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076" w:type="dxa"/>
            <w:vAlign w:val="center"/>
          </w:tcPr>
          <w:p w14:paraId="48123EEB">
            <w:pPr>
              <w:widowControl/>
              <w:spacing w:line="276" w:lineRule="auto"/>
              <w:jc w:val="center"/>
              <w:rPr>
                <w:rFonts w:asciiTheme="minorEastAsia" w:hAnsiTheme="minorEastAsia" w:cstheme="minorEastAsia"/>
                <w:color w:val="000000"/>
                <w:sz w:val="24"/>
              </w:rPr>
            </w:pPr>
            <w:r>
              <w:rPr>
                <w:rFonts w:hint="eastAsia" w:asciiTheme="minorEastAsia" w:hAnsiTheme="minorEastAsia" w:cstheme="minorEastAsia"/>
                <w:sz w:val="24"/>
              </w:rPr>
              <w:t>说明</w:t>
            </w:r>
          </w:p>
        </w:tc>
        <w:tc>
          <w:tcPr>
            <w:tcW w:w="7439" w:type="dxa"/>
            <w:gridSpan w:val="2"/>
            <w:vAlign w:val="center"/>
          </w:tcPr>
          <w:p w14:paraId="7F87FD17">
            <w:pPr>
              <w:numPr>
                <w:ilvl w:val="0"/>
                <w:numId w:val="4"/>
              </w:numPr>
              <w:spacing w:line="276" w:lineRule="auto"/>
              <w:rPr>
                <w:rFonts w:asciiTheme="minorEastAsia" w:hAnsiTheme="minorEastAsia" w:cstheme="minorEastAsia"/>
                <w:sz w:val="24"/>
              </w:rPr>
            </w:pPr>
            <w:r>
              <w:rPr>
                <w:rFonts w:hint="eastAsia" w:asciiTheme="minorEastAsia" w:hAnsiTheme="minorEastAsia" w:cstheme="minorEastAsia"/>
                <w:sz w:val="24"/>
              </w:rPr>
              <w:t>各评委评分A、B部分各项得分累加为最终得分。</w:t>
            </w:r>
          </w:p>
          <w:p w14:paraId="1AD40DE4">
            <w:pPr>
              <w:numPr>
                <w:ilvl w:val="0"/>
                <w:numId w:val="4"/>
              </w:numPr>
              <w:spacing w:line="276" w:lineRule="auto"/>
              <w:rPr>
                <w:rFonts w:asciiTheme="minorEastAsia" w:hAnsiTheme="minorEastAsia" w:cstheme="minorEastAsia"/>
              </w:rPr>
            </w:pPr>
            <w:r>
              <w:rPr>
                <w:rFonts w:hint="eastAsia" w:asciiTheme="minorEastAsia" w:hAnsiTheme="minorEastAsia" w:cstheme="minorEastAsia"/>
                <w:sz w:val="24"/>
              </w:rPr>
              <w:t>对所有合作方的招募评分都采用相同的程序和标准。</w:t>
            </w:r>
          </w:p>
        </w:tc>
      </w:tr>
    </w:tbl>
    <w:p w14:paraId="4C52B815">
      <w:pPr>
        <w:jc w:val="center"/>
        <w:rPr>
          <w:rFonts w:ascii="宋体" w:eastAsia="宋体"/>
          <w:b/>
          <w:bCs/>
          <w:sz w:val="32"/>
          <w:szCs w:val="32"/>
        </w:rPr>
      </w:pPr>
    </w:p>
    <w:p w14:paraId="49EA449E">
      <w:pPr>
        <w:jc w:val="center"/>
        <w:rPr>
          <w:rFonts w:ascii="宋体" w:eastAsia="宋体"/>
          <w:b/>
          <w:bCs/>
          <w:sz w:val="32"/>
          <w:szCs w:val="32"/>
        </w:rPr>
      </w:pPr>
    </w:p>
    <w:p w14:paraId="3481A78A">
      <w:pPr>
        <w:jc w:val="center"/>
        <w:rPr>
          <w:rFonts w:ascii="宋体" w:eastAsia="宋体"/>
          <w:b/>
          <w:bCs/>
          <w:sz w:val="32"/>
          <w:szCs w:val="32"/>
        </w:rPr>
      </w:pPr>
    </w:p>
    <w:p w14:paraId="7D623370">
      <w:pPr>
        <w:jc w:val="center"/>
        <w:rPr>
          <w:rFonts w:ascii="宋体" w:eastAsia="宋体"/>
          <w:b/>
          <w:bCs/>
          <w:sz w:val="32"/>
          <w:szCs w:val="32"/>
        </w:rPr>
      </w:pPr>
    </w:p>
    <w:p w14:paraId="5B2E0A8E">
      <w:pPr>
        <w:jc w:val="center"/>
        <w:rPr>
          <w:rFonts w:ascii="宋体" w:eastAsia="宋体"/>
          <w:b/>
          <w:bCs/>
          <w:sz w:val="32"/>
          <w:szCs w:val="32"/>
        </w:rPr>
      </w:pPr>
    </w:p>
    <w:p w14:paraId="4D1D01B4">
      <w:pPr>
        <w:jc w:val="center"/>
        <w:rPr>
          <w:rFonts w:ascii="宋体" w:eastAsia="宋体"/>
          <w:b/>
          <w:bCs/>
          <w:sz w:val="32"/>
          <w:szCs w:val="32"/>
        </w:rPr>
      </w:pPr>
    </w:p>
    <w:p w14:paraId="04A8B9CE">
      <w:pPr>
        <w:jc w:val="center"/>
        <w:rPr>
          <w:rFonts w:ascii="宋体" w:eastAsia="宋体"/>
          <w:b/>
          <w:bCs/>
          <w:sz w:val="32"/>
          <w:szCs w:val="32"/>
        </w:rPr>
      </w:pPr>
    </w:p>
    <w:p w14:paraId="23145A38">
      <w:pPr>
        <w:jc w:val="center"/>
        <w:rPr>
          <w:rFonts w:ascii="宋体" w:eastAsia="宋体"/>
          <w:b/>
          <w:bCs/>
          <w:sz w:val="32"/>
          <w:szCs w:val="32"/>
        </w:rPr>
      </w:pPr>
    </w:p>
    <w:p w14:paraId="40642E8E">
      <w:pPr>
        <w:jc w:val="center"/>
        <w:rPr>
          <w:rFonts w:ascii="宋体" w:eastAsia="宋体"/>
          <w:b/>
          <w:bCs/>
          <w:sz w:val="32"/>
          <w:szCs w:val="32"/>
        </w:rPr>
      </w:pPr>
    </w:p>
    <w:p w14:paraId="7E17CE97">
      <w:pPr>
        <w:jc w:val="center"/>
        <w:rPr>
          <w:rFonts w:ascii="宋体" w:eastAsia="宋体"/>
          <w:b/>
          <w:bCs/>
          <w:sz w:val="32"/>
          <w:szCs w:val="32"/>
        </w:rPr>
      </w:pPr>
    </w:p>
    <w:p w14:paraId="1ED33B16">
      <w:pPr>
        <w:jc w:val="center"/>
        <w:rPr>
          <w:rFonts w:ascii="宋体" w:eastAsia="宋体"/>
          <w:b/>
          <w:bCs/>
          <w:sz w:val="32"/>
          <w:szCs w:val="32"/>
        </w:rPr>
      </w:pPr>
    </w:p>
    <w:p w14:paraId="43DD00F9">
      <w:pPr>
        <w:jc w:val="center"/>
        <w:rPr>
          <w:rFonts w:ascii="宋体" w:eastAsia="宋体"/>
          <w:b/>
          <w:bCs/>
          <w:sz w:val="32"/>
          <w:szCs w:val="32"/>
        </w:rPr>
      </w:pPr>
    </w:p>
    <w:p w14:paraId="21918136">
      <w:pPr>
        <w:jc w:val="center"/>
        <w:rPr>
          <w:rFonts w:ascii="宋体" w:eastAsia="宋体"/>
          <w:b/>
          <w:bCs/>
          <w:sz w:val="32"/>
          <w:szCs w:val="32"/>
        </w:rPr>
      </w:pPr>
    </w:p>
    <w:p w14:paraId="5D5EB8D6">
      <w:pPr>
        <w:jc w:val="center"/>
        <w:rPr>
          <w:rFonts w:ascii="宋体" w:eastAsia="宋体"/>
          <w:b/>
          <w:bCs/>
          <w:sz w:val="32"/>
          <w:szCs w:val="32"/>
        </w:rPr>
      </w:pPr>
    </w:p>
    <w:p w14:paraId="2DF113A3">
      <w:pPr>
        <w:rPr>
          <w:rFonts w:ascii="宋体" w:eastAsia="宋体"/>
          <w:b/>
          <w:bCs/>
          <w:sz w:val="32"/>
          <w:szCs w:val="32"/>
        </w:rPr>
      </w:pPr>
    </w:p>
    <w:p w14:paraId="7267C5DF">
      <w:pPr>
        <w:jc w:val="center"/>
        <w:rPr>
          <w:rFonts w:ascii="Times New Roman" w:hAnsi="Times New Roman" w:eastAsia="宋体"/>
          <w:szCs w:val="21"/>
        </w:rPr>
      </w:pPr>
      <w:r>
        <w:rPr>
          <w:rFonts w:hint="eastAsia" w:ascii="宋体" w:eastAsia="宋体"/>
          <w:b/>
          <w:bCs/>
          <w:sz w:val="32"/>
          <w:szCs w:val="32"/>
        </w:rPr>
        <w:t>合作方须知</w:t>
      </w:r>
    </w:p>
    <w:p w14:paraId="7893A9DA">
      <w:pPr>
        <w:spacing w:line="440" w:lineRule="exact"/>
        <w:rPr>
          <w:rFonts w:ascii="Times New Roman" w:hAnsi="Times New Roman" w:eastAsia="宋体"/>
          <w:szCs w:val="21"/>
        </w:rPr>
      </w:pPr>
      <w:r>
        <w:rPr>
          <w:rFonts w:hint="eastAsia" w:ascii="宋体" w:eastAsia="宋体"/>
          <w:sz w:val="24"/>
        </w:rPr>
        <w:t xml:space="preserve"> </w:t>
      </w:r>
    </w:p>
    <w:p w14:paraId="656EF9EE">
      <w:pPr>
        <w:spacing w:line="440" w:lineRule="exact"/>
        <w:jc w:val="center"/>
        <w:rPr>
          <w:rFonts w:ascii="Times New Roman" w:hAnsi="Times New Roman" w:eastAsia="宋体"/>
          <w:szCs w:val="21"/>
        </w:rPr>
      </w:pPr>
      <w:r>
        <w:rPr>
          <w:rFonts w:hint="eastAsia" w:ascii="宋体" w:eastAsia="宋体"/>
          <w:b/>
          <w:bCs/>
          <w:sz w:val="24"/>
        </w:rPr>
        <w:t>A  说明</w:t>
      </w:r>
    </w:p>
    <w:p w14:paraId="2EE62E42">
      <w:pPr>
        <w:spacing w:line="440" w:lineRule="exact"/>
        <w:rPr>
          <w:rFonts w:ascii="Times New Roman" w:hAnsi="Times New Roman" w:eastAsia="宋体"/>
          <w:szCs w:val="21"/>
        </w:rPr>
      </w:pPr>
      <w:r>
        <w:rPr>
          <w:rFonts w:hint="eastAsia" w:ascii="宋体" w:eastAsia="宋体"/>
          <w:sz w:val="24"/>
        </w:rPr>
        <w:t xml:space="preserve"> </w:t>
      </w:r>
    </w:p>
    <w:p w14:paraId="76EB7B71">
      <w:pPr>
        <w:spacing w:line="440" w:lineRule="exact"/>
        <w:rPr>
          <w:rFonts w:ascii="Times New Roman" w:hAnsi="Times New Roman" w:eastAsia="宋体"/>
          <w:szCs w:val="21"/>
        </w:rPr>
      </w:pPr>
      <w:r>
        <w:rPr>
          <w:rFonts w:hint="eastAsia" w:ascii="宋体" w:eastAsia="宋体"/>
          <w:sz w:val="24"/>
        </w:rPr>
        <w:t>1. 适用范围</w:t>
      </w:r>
    </w:p>
    <w:p w14:paraId="50DD8F1A">
      <w:pPr>
        <w:spacing w:line="440" w:lineRule="exact"/>
        <w:ind w:firstLine="480" w:firstLineChars="200"/>
        <w:rPr>
          <w:rFonts w:ascii="Times New Roman" w:hAnsi="Times New Roman" w:eastAsia="宋体"/>
          <w:szCs w:val="21"/>
        </w:rPr>
      </w:pPr>
      <w:r>
        <w:rPr>
          <w:rFonts w:hint="eastAsia" w:ascii="宋体" w:eastAsia="宋体"/>
          <w:sz w:val="24"/>
        </w:rPr>
        <w:t>1.1本</w:t>
      </w:r>
      <w:r>
        <w:rPr>
          <w:rFonts w:hint="eastAsia" w:ascii="宋体"/>
          <w:sz w:val="24"/>
        </w:rPr>
        <w:t>招募</w:t>
      </w:r>
      <w:r>
        <w:rPr>
          <w:rFonts w:hint="eastAsia" w:ascii="宋体" w:eastAsia="宋体"/>
          <w:sz w:val="24"/>
        </w:rPr>
        <w:t>文件仅适用于</w:t>
      </w:r>
      <w:r>
        <w:rPr>
          <w:rFonts w:hint="eastAsia" w:ascii="宋体"/>
          <w:sz w:val="24"/>
        </w:rPr>
        <w:t>招募</w:t>
      </w:r>
      <w:r>
        <w:rPr>
          <w:rFonts w:hint="eastAsia" w:ascii="宋体" w:eastAsia="宋体"/>
          <w:sz w:val="24"/>
        </w:rPr>
        <w:t>邀请中所叙述项目服务。</w:t>
      </w:r>
    </w:p>
    <w:p w14:paraId="47D40345">
      <w:pPr>
        <w:spacing w:line="440" w:lineRule="exact"/>
        <w:rPr>
          <w:rFonts w:ascii="Times New Roman" w:hAnsi="Times New Roman" w:eastAsia="宋体"/>
          <w:szCs w:val="21"/>
        </w:rPr>
      </w:pPr>
      <w:r>
        <w:rPr>
          <w:rFonts w:hint="eastAsia" w:ascii="宋体" w:eastAsia="宋体"/>
          <w:sz w:val="24"/>
        </w:rPr>
        <w:t>2. 定义</w:t>
      </w:r>
    </w:p>
    <w:p w14:paraId="5F08E91A">
      <w:pPr>
        <w:spacing w:line="440" w:lineRule="exact"/>
        <w:ind w:firstLine="480" w:firstLineChars="200"/>
        <w:rPr>
          <w:rFonts w:ascii="Times New Roman" w:hAnsi="Times New Roman" w:eastAsia="宋体"/>
          <w:szCs w:val="21"/>
        </w:rPr>
      </w:pPr>
      <w:r>
        <w:rPr>
          <w:rFonts w:hint="eastAsia" w:ascii="宋体" w:eastAsia="宋体"/>
          <w:sz w:val="24"/>
        </w:rPr>
        <w:t>2.1“合作方”系指本次提交招募响应文件的国内企业。</w:t>
      </w:r>
    </w:p>
    <w:p w14:paraId="1B362138">
      <w:pPr>
        <w:spacing w:line="440" w:lineRule="exact"/>
        <w:ind w:firstLine="480" w:firstLineChars="200"/>
        <w:rPr>
          <w:rFonts w:ascii="Times New Roman" w:hAnsi="Times New Roman" w:eastAsia="宋体"/>
          <w:szCs w:val="21"/>
        </w:rPr>
      </w:pPr>
      <w:r>
        <w:rPr>
          <w:rFonts w:hint="eastAsia" w:ascii="宋体" w:eastAsia="宋体"/>
          <w:sz w:val="24"/>
        </w:rPr>
        <w:t>2.2“中选合作方”系指本次</w:t>
      </w:r>
      <w:r>
        <w:rPr>
          <w:rFonts w:hint="eastAsia" w:ascii="宋体"/>
          <w:sz w:val="24"/>
        </w:rPr>
        <w:t>招募</w:t>
      </w:r>
      <w:r>
        <w:rPr>
          <w:rFonts w:hint="eastAsia" w:ascii="宋体" w:eastAsia="宋体"/>
          <w:sz w:val="24"/>
        </w:rPr>
        <w:t>中被授予合同的合作方。</w:t>
      </w:r>
    </w:p>
    <w:p w14:paraId="11CD7DE8">
      <w:pPr>
        <w:spacing w:line="440" w:lineRule="exact"/>
        <w:ind w:firstLine="480" w:firstLineChars="200"/>
        <w:rPr>
          <w:rFonts w:ascii="Times New Roman" w:hAnsi="Times New Roman" w:eastAsia="宋体"/>
          <w:szCs w:val="21"/>
        </w:rPr>
      </w:pPr>
      <w:r>
        <w:rPr>
          <w:rFonts w:hint="eastAsia" w:ascii="宋体" w:eastAsia="宋体"/>
          <w:sz w:val="24"/>
        </w:rPr>
        <w:t>2.3“服务”系指</w:t>
      </w:r>
      <w:r>
        <w:rPr>
          <w:rFonts w:hint="eastAsia" w:ascii="宋体"/>
          <w:sz w:val="24"/>
        </w:rPr>
        <w:t>招募</w:t>
      </w:r>
      <w:r>
        <w:rPr>
          <w:rFonts w:hint="eastAsia" w:ascii="宋体" w:eastAsia="宋体"/>
          <w:sz w:val="24"/>
        </w:rPr>
        <w:t>文件规定合作方须承担的施工、安装、调试、技术协助、校准、培训以及其他义务。</w:t>
      </w:r>
    </w:p>
    <w:p w14:paraId="420640D2">
      <w:pPr>
        <w:spacing w:line="440" w:lineRule="exact"/>
        <w:rPr>
          <w:rFonts w:ascii="Times New Roman" w:hAnsi="Times New Roman" w:eastAsia="宋体"/>
          <w:szCs w:val="21"/>
        </w:rPr>
      </w:pPr>
      <w:r>
        <w:rPr>
          <w:rFonts w:hint="eastAsia" w:ascii="宋体" w:eastAsia="宋体"/>
          <w:sz w:val="24"/>
        </w:rPr>
        <w:t>3.合格的合作方</w:t>
      </w:r>
    </w:p>
    <w:p w14:paraId="28597D64">
      <w:pPr>
        <w:spacing w:line="440" w:lineRule="exact"/>
        <w:ind w:firstLine="480" w:firstLineChars="200"/>
        <w:rPr>
          <w:rFonts w:ascii="Times New Roman" w:hAnsi="Times New Roman" w:eastAsia="宋体"/>
          <w:szCs w:val="21"/>
        </w:rPr>
      </w:pPr>
      <w:r>
        <w:rPr>
          <w:rFonts w:hint="eastAsia" w:ascii="宋体" w:eastAsia="宋体"/>
          <w:sz w:val="24"/>
        </w:rPr>
        <w:t>3.1有能力提供本</w:t>
      </w:r>
      <w:r>
        <w:rPr>
          <w:rFonts w:hint="eastAsia" w:ascii="宋体"/>
          <w:sz w:val="24"/>
        </w:rPr>
        <w:t>招募</w:t>
      </w:r>
      <w:r>
        <w:rPr>
          <w:rFonts w:hint="eastAsia" w:ascii="宋体" w:eastAsia="宋体"/>
          <w:sz w:val="24"/>
        </w:rPr>
        <w:t>文件所述货物及服务的具有独立法人资格的国内企业。</w:t>
      </w:r>
    </w:p>
    <w:p w14:paraId="1DB00A54">
      <w:pPr>
        <w:spacing w:line="440" w:lineRule="exact"/>
        <w:ind w:firstLine="480" w:firstLineChars="200"/>
        <w:rPr>
          <w:rFonts w:ascii="Times New Roman" w:hAnsi="Times New Roman" w:eastAsia="宋体"/>
          <w:szCs w:val="21"/>
        </w:rPr>
      </w:pPr>
      <w:r>
        <w:rPr>
          <w:rFonts w:hint="eastAsia" w:ascii="宋体" w:eastAsia="宋体"/>
          <w:sz w:val="24"/>
        </w:rPr>
        <w:t>3.2 合作方服务的资格必须得到有关行政主管部门的许可。</w:t>
      </w:r>
    </w:p>
    <w:p w14:paraId="48C73870">
      <w:pPr>
        <w:spacing w:line="440" w:lineRule="exact"/>
        <w:rPr>
          <w:rFonts w:ascii="Times New Roman" w:hAnsi="Times New Roman" w:eastAsia="宋体"/>
          <w:szCs w:val="21"/>
        </w:rPr>
      </w:pPr>
      <w:r>
        <w:rPr>
          <w:rFonts w:hint="eastAsia" w:ascii="宋体" w:eastAsia="宋体"/>
          <w:sz w:val="24"/>
        </w:rPr>
        <w:t>4.报价费用</w:t>
      </w:r>
    </w:p>
    <w:p w14:paraId="24281837">
      <w:pPr>
        <w:spacing w:line="440" w:lineRule="exact"/>
        <w:ind w:firstLine="480" w:firstLineChars="200"/>
        <w:rPr>
          <w:rFonts w:ascii="Times New Roman" w:hAnsi="Times New Roman" w:eastAsia="宋体"/>
          <w:szCs w:val="21"/>
        </w:rPr>
      </w:pPr>
      <w:r>
        <w:rPr>
          <w:rFonts w:hint="eastAsia" w:ascii="宋体" w:eastAsia="宋体"/>
          <w:sz w:val="24"/>
        </w:rPr>
        <w:t>4.1 合作方应承担其准备与参加报价所涉及的一切费用。在任何情况下</w:t>
      </w:r>
      <w:r>
        <w:rPr>
          <w:rFonts w:hint="eastAsia" w:ascii="宋体"/>
          <w:sz w:val="24"/>
        </w:rPr>
        <w:t>招募</w:t>
      </w:r>
      <w:r>
        <w:rPr>
          <w:rFonts w:hint="eastAsia" w:ascii="宋体" w:eastAsia="宋体"/>
          <w:sz w:val="24"/>
        </w:rPr>
        <w:t>人及买方不承担任何费用。</w:t>
      </w:r>
    </w:p>
    <w:p w14:paraId="1E809827">
      <w:pPr>
        <w:spacing w:line="440" w:lineRule="exact"/>
        <w:rPr>
          <w:rFonts w:ascii="Times New Roman" w:hAnsi="Times New Roman" w:eastAsia="宋体"/>
          <w:szCs w:val="21"/>
        </w:rPr>
      </w:pPr>
      <w:r>
        <w:rPr>
          <w:rFonts w:hint="eastAsia" w:ascii="宋体" w:eastAsia="宋体"/>
          <w:sz w:val="24"/>
        </w:rPr>
        <w:t xml:space="preserve"> </w:t>
      </w:r>
    </w:p>
    <w:p w14:paraId="1F97B718">
      <w:pPr>
        <w:spacing w:line="440" w:lineRule="exact"/>
        <w:jc w:val="center"/>
        <w:rPr>
          <w:rFonts w:ascii="Times New Roman" w:hAnsi="Times New Roman" w:eastAsia="宋体"/>
          <w:szCs w:val="21"/>
        </w:rPr>
      </w:pPr>
      <w:r>
        <w:rPr>
          <w:rFonts w:hint="eastAsia" w:ascii="宋体" w:eastAsia="宋体"/>
          <w:b/>
          <w:bCs/>
          <w:sz w:val="24"/>
        </w:rPr>
        <w:t xml:space="preserve">B  </w:t>
      </w:r>
      <w:r>
        <w:rPr>
          <w:rFonts w:hint="eastAsia" w:ascii="宋体"/>
          <w:b/>
          <w:bCs/>
          <w:sz w:val="24"/>
        </w:rPr>
        <w:t>招募</w:t>
      </w:r>
      <w:r>
        <w:rPr>
          <w:rFonts w:hint="eastAsia" w:ascii="宋体" w:eastAsia="宋体"/>
          <w:b/>
          <w:bCs/>
          <w:sz w:val="24"/>
        </w:rPr>
        <w:t>文件</w:t>
      </w:r>
    </w:p>
    <w:p w14:paraId="6825874C">
      <w:pPr>
        <w:spacing w:line="440" w:lineRule="exact"/>
        <w:rPr>
          <w:rFonts w:ascii="Times New Roman" w:hAnsi="Times New Roman" w:eastAsia="宋体"/>
          <w:szCs w:val="21"/>
        </w:rPr>
      </w:pPr>
      <w:r>
        <w:rPr>
          <w:rFonts w:hint="eastAsia" w:ascii="宋体" w:eastAsia="宋体"/>
          <w:sz w:val="24"/>
        </w:rPr>
        <w:t xml:space="preserve"> </w:t>
      </w:r>
    </w:p>
    <w:p w14:paraId="40410F21">
      <w:pPr>
        <w:spacing w:line="440" w:lineRule="exact"/>
        <w:rPr>
          <w:rFonts w:ascii="Times New Roman" w:hAnsi="Times New Roman" w:eastAsia="宋体"/>
          <w:szCs w:val="21"/>
        </w:rPr>
      </w:pPr>
      <w:r>
        <w:rPr>
          <w:rFonts w:hint="eastAsia" w:ascii="宋体" w:eastAsia="宋体"/>
          <w:sz w:val="24"/>
        </w:rPr>
        <w:t xml:space="preserve">5. </w:t>
      </w:r>
      <w:r>
        <w:rPr>
          <w:rFonts w:hint="eastAsia" w:ascii="宋体"/>
          <w:sz w:val="24"/>
        </w:rPr>
        <w:t>招募</w:t>
      </w:r>
      <w:r>
        <w:rPr>
          <w:rFonts w:hint="eastAsia" w:ascii="宋体" w:eastAsia="宋体"/>
          <w:sz w:val="24"/>
        </w:rPr>
        <w:t>文件的组成</w:t>
      </w:r>
    </w:p>
    <w:p w14:paraId="28717C28">
      <w:pPr>
        <w:spacing w:line="440" w:lineRule="exact"/>
        <w:rPr>
          <w:rFonts w:ascii="Times New Roman" w:hAnsi="Times New Roman" w:eastAsia="宋体"/>
          <w:szCs w:val="21"/>
        </w:rPr>
      </w:pPr>
      <w:r>
        <w:rPr>
          <w:rFonts w:hint="eastAsia" w:ascii="宋体" w:eastAsia="宋体"/>
          <w:sz w:val="24"/>
        </w:rPr>
        <w:t xml:space="preserve">    5.1</w:t>
      </w:r>
      <w:r>
        <w:rPr>
          <w:rFonts w:hint="eastAsia" w:ascii="宋体"/>
          <w:sz w:val="24"/>
        </w:rPr>
        <w:t>招募</w:t>
      </w:r>
      <w:r>
        <w:rPr>
          <w:rFonts w:hint="eastAsia" w:ascii="宋体" w:eastAsia="宋体"/>
          <w:sz w:val="24"/>
        </w:rPr>
        <w:t>文件用以阐明所需服务、</w:t>
      </w:r>
      <w:r>
        <w:rPr>
          <w:rFonts w:hint="eastAsia" w:ascii="宋体"/>
          <w:sz w:val="24"/>
        </w:rPr>
        <w:t>招募</w:t>
      </w:r>
      <w:r>
        <w:rPr>
          <w:rFonts w:hint="eastAsia" w:ascii="宋体" w:eastAsia="宋体"/>
          <w:sz w:val="24"/>
        </w:rPr>
        <w:t>程序和合同主要条款。</w:t>
      </w:r>
      <w:r>
        <w:rPr>
          <w:rFonts w:hint="eastAsia" w:ascii="宋体"/>
          <w:sz w:val="24"/>
        </w:rPr>
        <w:t>招募</w:t>
      </w:r>
      <w:r>
        <w:rPr>
          <w:rFonts w:hint="eastAsia" w:ascii="宋体" w:eastAsia="宋体"/>
          <w:sz w:val="24"/>
        </w:rPr>
        <w:t>文件由下述部分组成：</w:t>
      </w:r>
    </w:p>
    <w:p w14:paraId="379669B8">
      <w:pPr>
        <w:spacing w:line="440" w:lineRule="exact"/>
        <w:ind w:firstLine="480" w:firstLineChars="200"/>
        <w:rPr>
          <w:rFonts w:ascii="Times New Roman" w:hAnsi="Times New Roman" w:eastAsia="宋体"/>
          <w:szCs w:val="21"/>
        </w:rPr>
      </w:pPr>
      <w:r>
        <w:rPr>
          <w:rFonts w:hint="eastAsia" w:ascii="宋体" w:eastAsia="宋体"/>
          <w:sz w:val="24"/>
        </w:rPr>
        <w:t>(1)</w:t>
      </w:r>
      <w:r>
        <w:rPr>
          <w:rFonts w:hint="eastAsia" w:ascii="宋体"/>
          <w:sz w:val="24"/>
        </w:rPr>
        <w:t>招募</w:t>
      </w:r>
      <w:r>
        <w:rPr>
          <w:rFonts w:hint="eastAsia" w:ascii="宋体" w:eastAsia="宋体"/>
          <w:sz w:val="24"/>
        </w:rPr>
        <w:t>邀请</w:t>
      </w:r>
    </w:p>
    <w:p w14:paraId="7A6A2F04">
      <w:pPr>
        <w:spacing w:line="440" w:lineRule="exact"/>
        <w:ind w:firstLine="480" w:firstLineChars="200"/>
        <w:rPr>
          <w:rFonts w:ascii="Times New Roman" w:hAnsi="Times New Roman" w:eastAsia="宋体"/>
          <w:szCs w:val="21"/>
        </w:rPr>
      </w:pPr>
      <w:r>
        <w:rPr>
          <w:rFonts w:hint="eastAsia" w:ascii="宋体" w:eastAsia="宋体"/>
          <w:sz w:val="24"/>
        </w:rPr>
        <w:t>(2)合作方须知</w:t>
      </w:r>
    </w:p>
    <w:p w14:paraId="0FE6FB41">
      <w:pPr>
        <w:spacing w:line="440" w:lineRule="exact"/>
        <w:ind w:firstLine="480" w:firstLineChars="200"/>
        <w:rPr>
          <w:rFonts w:ascii="宋体" w:eastAsia="宋体"/>
          <w:sz w:val="24"/>
        </w:rPr>
      </w:pPr>
      <w:r>
        <w:rPr>
          <w:rFonts w:hint="eastAsia" w:ascii="宋体" w:eastAsia="宋体"/>
          <w:sz w:val="24"/>
        </w:rPr>
        <w:t>(3)</w:t>
      </w:r>
      <w:r>
        <w:rPr>
          <w:rFonts w:hint="eastAsia" w:ascii="宋体"/>
          <w:sz w:val="24"/>
        </w:rPr>
        <w:t>招募</w:t>
      </w:r>
      <w:r>
        <w:rPr>
          <w:rFonts w:hint="eastAsia" w:ascii="宋体" w:eastAsia="宋体"/>
          <w:sz w:val="24"/>
        </w:rPr>
        <w:t>内容及要求</w:t>
      </w:r>
    </w:p>
    <w:p w14:paraId="0D3D2E91">
      <w:pPr>
        <w:spacing w:line="440" w:lineRule="exact"/>
        <w:ind w:firstLine="480" w:firstLineChars="200"/>
        <w:rPr>
          <w:rFonts w:ascii="宋体" w:eastAsia="宋体"/>
          <w:sz w:val="24"/>
        </w:rPr>
      </w:pPr>
      <w:r>
        <w:rPr>
          <w:rFonts w:hint="eastAsia" w:ascii="宋体" w:eastAsia="宋体"/>
          <w:sz w:val="24"/>
        </w:rPr>
        <w:t>(4)招募合同（参考文本）</w:t>
      </w:r>
    </w:p>
    <w:p w14:paraId="11D50A11">
      <w:pPr>
        <w:spacing w:line="440" w:lineRule="exact"/>
        <w:ind w:firstLine="480" w:firstLineChars="200"/>
        <w:rPr>
          <w:rFonts w:ascii="宋体" w:eastAsia="宋体"/>
          <w:sz w:val="24"/>
        </w:rPr>
      </w:pPr>
      <w:r>
        <w:rPr>
          <w:rFonts w:hint="eastAsia" w:ascii="宋体" w:eastAsia="宋体"/>
          <w:sz w:val="24"/>
        </w:rPr>
        <w:t>(5)招募响应文件（参考文本）</w:t>
      </w:r>
    </w:p>
    <w:p w14:paraId="0CA86C18">
      <w:pPr>
        <w:spacing w:line="440" w:lineRule="exact"/>
        <w:ind w:firstLine="480" w:firstLineChars="200"/>
        <w:rPr>
          <w:rFonts w:ascii="宋体" w:eastAsia="宋体"/>
          <w:sz w:val="24"/>
        </w:rPr>
      </w:pPr>
      <w:r>
        <w:rPr>
          <w:rFonts w:hint="eastAsia" w:ascii="宋体" w:eastAsia="宋体"/>
          <w:sz w:val="24"/>
        </w:rPr>
        <w:t xml:space="preserve"> </w:t>
      </w:r>
    </w:p>
    <w:p w14:paraId="7E9570BF">
      <w:pPr>
        <w:spacing w:line="440" w:lineRule="exact"/>
      </w:pPr>
      <w:r>
        <w:rPr>
          <w:rFonts w:hint="eastAsia" w:ascii="宋体" w:eastAsia="宋体"/>
          <w:sz w:val="24"/>
        </w:rPr>
        <w:t xml:space="preserve"> </w:t>
      </w:r>
    </w:p>
    <w:p w14:paraId="736CFCFB">
      <w:pPr>
        <w:spacing w:line="440" w:lineRule="exact"/>
        <w:jc w:val="center"/>
        <w:rPr>
          <w:rFonts w:ascii="Times New Roman" w:hAnsi="Times New Roman" w:eastAsia="宋体"/>
          <w:szCs w:val="21"/>
        </w:rPr>
      </w:pPr>
      <w:r>
        <w:rPr>
          <w:rFonts w:hint="eastAsia" w:ascii="宋体" w:eastAsia="宋体"/>
          <w:b/>
          <w:bCs/>
          <w:sz w:val="24"/>
        </w:rPr>
        <w:t>C  招募响应文件的编写</w:t>
      </w:r>
    </w:p>
    <w:p w14:paraId="1A157773">
      <w:pPr>
        <w:spacing w:line="440" w:lineRule="exact"/>
        <w:rPr>
          <w:rFonts w:ascii="Times New Roman" w:hAnsi="Times New Roman" w:eastAsia="宋体"/>
          <w:szCs w:val="21"/>
        </w:rPr>
      </w:pPr>
      <w:r>
        <w:rPr>
          <w:rFonts w:hint="eastAsia" w:ascii="宋体" w:eastAsia="宋体"/>
          <w:sz w:val="24"/>
        </w:rPr>
        <w:t xml:space="preserve"> </w:t>
      </w:r>
    </w:p>
    <w:p w14:paraId="65170709">
      <w:pPr>
        <w:spacing w:line="440" w:lineRule="exact"/>
        <w:rPr>
          <w:rFonts w:ascii="Times New Roman" w:hAnsi="Times New Roman" w:eastAsia="宋体"/>
          <w:szCs w:val="21"/>
        </w:rPr>
      </w:pPr>
      <w:r>
        <w:rPr>
          <w:rFonts w:hint="eastAsia" w:ascii="宋体" w:eastAsia="宋体"/>
          <w:sz w:val="24"/>
        </w:rPr>
        <w:t>6. 要求</w:t>
      </w:r>
    </w:p>
    <w:p w14:paraId="106CE349">
      <w:pPr>
        <w:spacing w:line="440" w:lineRule="exact"/>
        <w:rPr>
          <w:rFonts w:ascii="Times New Roman" w:hAnsi="Times New Roman" w:eastAsia="宋体"/>
          <w:szCs w:val="21"/>
        </w:rPr>
      </w:pPr>
      <w:r>
        <w:rPr>
          <w:rFonts w:hint="eastAsia" w:ascii="宋体" w:eastAsia="宋体"/>
          <w:sz w:val="24"/>
        </w:rPr>
        <w:t xml:space="preserve">    6.1合作方应仔细阅读</w:t>
      </w:r>
      <w:r>
        <w:rPr>
          <w:rFonts w:hint="eastAsia" w:ascii="宋体"/>
          <w:sz w:val="24"/>
        </w:rPr>
        <w:t>招募</w:t>
      </w:r>
      <w:r>
        <w:rPr>
          <w:rFonts w:hint="eastAsia" w:ascii="宋体" w:eastAsia="宋体"/>
          <w:sz w:val="24"/>
        </w:rPr>
        <w:t>文件的所有内容，按</w:t>
      </w:r>
      <w:r>
        <w:rPr>
          <w:rFonts w:hint="eastAsia" w:ascii="宋体"/>
          <w:sz w:val="24"/>
        </w:rPr>
        <w:t>招募</w:t>
      </w:r>
      <w:r>
        <w:rPr>
          <w:rFonts w:hint="eastAsia" w:ascii="宋体" w:eastAsia="宋体"/>
          <w:sz w:val="24"/>
        </w:rPr>
        <w:t>文件的要求提供招募响应文件，并保证所提供的全部资料的真实性，否则其招募响应文件可能被拒绝。</w:t>
      </w:r>
    </w:p>
    <w:p w14:paraId="6251FAA4">
      <w:pPr>
        <w:spacing w:line="440" w:lineRule="exact"/>
        <w:rPr>
          <w:rFonts w:ascii="Times New Roman" w:hAnsi="Times New Roman" w:eastAsia="宋体"/>
          <w:szCs w:val="21"/>
        </w:rPr>
      </w:pPr>
      <w:r>
        <w:rPr>
          <w:rFonts w:hint="eastAsia" w:ascii="宋体" w:eastAsia="宋体"/>
          <w:sz w:val="24"/>
        </w:rPr>
        <w:t>7. 报价语言及报价要求</w:t>
      </w:r>
    </w:p>
    <w:p w14:paraId="4783BB7B">
      <w:pPr>
        <w:spacing w:line="440" w:lineRule="exact"/>
        <w:rPr>
          <w:rFonts w:ascii="Times New Roman" w:hAnsi="Times New Roman" w:eastAsia="宋体"/>
          <w:szCs w:val="21"/>
        </w:rPr>
      </w:pPr>
      <w:r>
        <w:rPr>
          <w:rFonts w:hint="eastAsia" w:ascii="宋体" w:eastAsia="宋体"/>
          <w:sz w:val="24"/>
        </w:rPr>
        <w:t xml:space="preserve">    7.1报价文件应用中文书写。</w:t>
      </w:r>
    </w:p>
    <w:p w14:paraId="4A09C44C">
      <w:pPr>
        <w:spacing w:line="440" w:lineRule="exact"/>
        <w:rPr>
          <w:rFonts w:ascii="Times New Roman" w:hAnsi="Times New Roman" w:eastAsia="宋体"/>
          <w:szCs w:val="21"/>
        </w:rPr>
      </w:pPr>
      <w:r>
        <w:rPr>
          <w:rFonts w:hint="eastAsia" w:ascii="宋体" w:eastAsia="宋体"/>
          <w:sz w:val="24"/>
        </w:rPr>
        <w:t xml:space="preserve">    7.2报价人应对</w:t>
      </w:r>
      <w:r>
        <w:rPr>
          <w:rFonts w:hint="eastAsia" w:ascii="宋体"/>
          <w:sz w:val="24"/>
        </w:rPr>
        <w:t>招募</w:t>
      </w:r>
      <w:r>
        <w:rPr>
          <w:rFonts w:hint="eastAsia" w:ascii="宋体" w:eastAsia="宋体"/>
          <w:sz w:val="24"/>
        </w:rPr>
        <w:t>内容一览表所列的合同包服务进行完整报价，不得将一个合同包中的内容拆开部分报价。不接受有任何可选择性的报价，否则其报价文件将被拒绝。</w:t>
      </w:r>
    </w:p>
    <w:p w14:paraId="3A5A8107">
      <w:pPr>
        <w:spacing w:line="440" w:lineRule="exact"/>
        <w:rPr>
          <w:rFonts w:ascii="Times New Roman" w:hAnsi="Times New Roman" w:eastAsia="宋体"/>
          <w:szCs w:val="21"/>
        </w:rPr>
      </w:pPr>
      <w:r>
        <w:rPr>
          <w:rFonts w:hint="eastAsia" w:ascii="宋体" w:eastAsia="宋体"/>
          <w:sz w:val="24"/>
        </w:rPr>
        <w:t xml:space="preserve">    7.2.1除非另有规定，报价人应在满足技术规格与要求的基础上进行报价。应根据报价文件表格和规定按要求详细报价。</w:t>
      </w:r>
    </w:p>
    <w:p w14:paraId="5960D843">
      <w:pPr>
        <w:spacing w:line="440" w:lineRule="exact"/>
        <w:rPr>
          <w:rFonts w:ascii="Times New Roman" w:hAnsi="Times New Roman" w:eastAsia="宋体"/>
          <w:szCs w:val="21"/>
        </w:rPr>
      </w:pPr>
      <w:r>
        <w:rPr>
          <w:rFonts w:hint="eastAsia" w:ascii="宋体" w:eastAsia="宋体"/>
          <w:sz w:val="24"/>
        </w:rPr>
        <w:t xml:space="preserve">    7.2.2本次报价的合同采用固定价格方式。报价人所报单价和以细目总价填报的价格在合同实施期间应保持不变，均不受市场价格及政策性价格的调整而增减。</w:t>
      </w:r>
    </w:p>
    <w:p w14:paraId="5B5C9025">
      <w:pPr>
        <w:spacing w:line="440" w:lineRule="exact"/>
        <w:rPr>
          <w:rFonts w:ascii="Times New Roman" w:hAnsi="Times New Roman" w:eastAsia="宋体"/>
          <w:szCs w:val="21"/>
        </w:rPr>
      </w:pPr>
      <w:r>
        <w:rPr>
          <w:rFonts w:hint="eastAsia" w:ascii="宋体" w:eastAsia="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59A9706A">
      <w:pPr>
        <w:spacing w:line="440" w:lineRule="exact"/>
        <w:rPr>
          <w:rFonts w:ascii="Times New Roman" w:hAnsi="Times New Roman" w:eastAsia="宋体"/>
          <w:szCs w:val="21"/>
        </w:rPr>
      </w:pPr>
      <w:r>
        <w:rPr>
          <w:rFonts w:hint="eastAsia" w:ascii="宋体" w:eastAsia="宋体"/>
          <w:sz w:val="24"/>
        </w:rPr>
        <w:t>8. 报价有效期</w:t>
      </w:r>
    </w:p>
    <w:p w14:paraId="3079F56A">
      <w:pPr>
        <w:spacing w:line="440" w:lineRule="exact"/>
        <w:rPr>
          <w:rFonts w:ascii="Times New Roman" w:hAnsi="Times New Roman" w:eastAsia="宋体"/>
          <w:szCs w:val="21"/>
        </w:rPr>
      </w:pPr>
      <w:r>
        <w:rPr>
          <w:rFonts w:hint="eastAsia" w:ascii="宋体" w:eastAsia="宋体"/>
          <w:sz w:val="24"/>
        </w:rPr>
        <w:t xml:space="preserve">    8.1报价文件从本须知前附表第4项所规定的递交截止期之后开始生效，在本须知前附表第3项所规定的日历日内保持有效。</w:t>
      </w:r>
    </w:p>
    <w:p w14:paraId="008EF65E">
      <w:pPr>
        <w:spacing w:line="440" w:lineRule="exact"/>
        <w:jc w:val="center"/>
        <w:rPr>
          <w:rFonts w:ascii="Times New Roman" w:hAnsi="Times New Roman" w:eastAsia="宋体"/>
          <w:szCs w:val="21"/>
        </w:rPr>
      </w:pPr>
      <w:r>
        <w:rPr>
          <w:rFonts w:hint="eastAsia" w:ascii="宋体" w:eastAsia="宋体"/>
          <w:b/>
          <w:bCs/>
          <w:sz w:val="24"/>
        </w:rPr>
        <w:t xml:space="preserve"> </w:t>
      </w:r>
    </w:p>
    <w:p w14:paraId="51E16017">
      <w:pPr>
        <w:spacing w:line="440" w:lineRule="exact"/>
        <w:jc w:val="center"/>
        <w:rPr>
          <w:rFonts w:ascii="Times New Roman" w:hAnsi="Times New Roman" w:eastAsia="宋体"/>
          <w:szCs w:val="21"/>
        </w:rPr>
      </w:pPr>
      <w:r>
        <w:rPr>
          <w:rFonts w:hint="eastAsia" w:ascii="宋体" w:eastAsia="宋体"/>
          <w:b/>
          <w:bCs/>
          <w:sz w:val="24"/>
        </w:rPr>
        <w:t>D  招募响应文件的格式与递交</w:t>
      </w:r>
    </w:p>
    <w:p w14:paraId="2D06C227">
      <w:pPr>
        <w:spacing w:line="440" w:lineRule="exact"/>
        <w:rPr>
          <w:rFonts w:ascii="Times New Roman" w:hAnsi="Times New Roman" w:eastAsia="宋体"/>
          <w:szCs w:val="21"/>
        </w:rPr>
      </w:pPr>
      <w:r>
        <w:rPr>
          <w:rFonts w:hint="eastAsia" w:ascii="宋体" w:eastAsia="宋体"/>
          <w:sz w:val="24"/>
        </w:rPr>
        <w:t xml:space="preserve"> </w:t>
      </w:r>
    </w:p>
    <w:p w14:paraId="5E09C4D4">
      <w:pPr>
        <w:spacing w:line="440" w:lineRule="exact"/>
        <w:rPr>
          <w:rFonts w:ascii="Times New Roman" w:hAnsi="Times New Roman" w:eastAsia="宋体"/>
          <w:szCs w:val="21"/>
        </w:rPr>
      </w:pPr>
      <w:r>
        <w:rPr>
          <w:rFonts w:hint="eastAsia" w:ascii="宋体" w:eastAsia="宋体"/>
          <w:sz w:val="24"/>
        </w:rPr>
        <w:t>10. 招募响应文件的格式</w:t>
      </w:r>
    </w:p>
    <w:p w14:paraId="2DE3EAA5">
      <w:pPr>
        <w:spacing w:line="440" w:lineRule="exact"/>
        <w:rPr>
          <w:rFonts w:ascii="Times New Roman" w:hAnsi="Times New Roman" w:eastAsia="宋体"/>
          <w:szCs w:val="21"/>
        </w:rPr>
      </w:pPr>
      <w:r>
        <w:rPr>
          <w:rFonts w:hint="eastAsia" w:ascii="宋体" w:eastAsia="宋体"/>
          <w:sz w:val="24"/>
        </w:rPr>
        <w:t xml:space="preserve">    10.1招募响应文件的格式参考第五部分 招募响应文件（参考文本），提供正本一份，副本叁份</w:t>
      </w:r>
      <w:r>
        <w:rPr>
          <w:rFonts w:hint="eastAsia" w:ascii="宋体" w:eastAsia="宋体"/>
          <w:b/>
          <w:bCs/>
          <w:sz w:val="24"/>
        </w:rPr>
        <w:t>。如有矛盾则以正本为准。</w:t>
      </w:r>
    </w:p>
    <w:p w14:paraId="550D04D3">
      <w:pPr>
        <w:spacing w:line="440" w:lineRule="exact"/>
        <w:rPr>
          <w:rFonts w:ascii="Times New Roman" w:hAnsi="Times New Roman" w:eastAsia="宋体"/>
          <w:szCs w:val="21"/>
        </w:rPr>
      </w:pPr>
      <w:r>
        <w:rPr>
          <w:rFonts w:hint="eastAsia" w:ascii="宋体" w:eastAsia="宋体"/>
          <w:sz w:val="24"/>
        </w:rPr>
        <w:t xml:space="preserve">    10.2招募响应文件应由合作方授权代表签字并加盖公章。</w:t>
      </w:r>
    </w:p>
    <w:p w14:paraId="1C1E6CEE">
      <w:pPr>
        <w:spacing w:line="440" w:lineRule="exact"/>
        <w:rPr>
          <w:rFonts w:ascii="Times New Roman" w:hAnsi="Times New Roman" w:eastAsia="宋体"/>
          <w:szCs w:val="21"/>
        </w:rPr>
      </w:pPr>
      <w:r>
        <w:rPr>
          <w:rFonts w:hint="eastAsia" w:ascii="宋体" w:eastAsia="宋体"/>
          <w:sz w:val="24"/>
        </w:rPr>
        <w:t xml:space="preserve">    10.3报价使用货币为人民币。</w:t>
      </w:r>
    </w:p>
    <w:p w14:paraId="4E24B0BD">
      <w:pPr>
        <w:spacing w:line="440" w:lineRule="exact"/>
        <w:rPr>
          <w:rFonts w:ascii="Times New Roman" w:hAnsi="Times New Roman" w:eastAsia="宋体"/>
          <w:szCs w:val="21"/>
        </w:rPr>
      </w:pPr>
      <w:r>
        <w:rPr>
          <w:rFonts w:hint="eastAsia" w:ascii="宋体" w:eastAsia="宋体"/>
          <w:sz w:val="24"/>
        </w:rPr>
        <w:t xml:space="preserve">    10.4合作方应提交证明其拟供货物和服务符合</w:t>
      </w:r>
      <w:r>
        <w:rPr>
          <w:rFonts w:hint="eastAsia" w:ascii="宋体"/>
          <w:sz w:val="24"/>
        </w:rPr>
        <w:t>招募</w:t>
      </w:r>
      <w:r>
        <w:rPr>
          <w:rFonts w:hint="eastAsia" w:ascii="宋体" w:eastAsia="宋体"/>
          <w:sz w:val="24"/>
        </w:rPr>
        <w:t>文件要求的响应材料，该材料可以是文字资料、图纸和数据等。</w:t>
      </w:r>
    </w:p>
    <w:p w14:paraId="0418EF3E">
      <w:pPr>
        <w:spacing w:line="440" w:lineRule="exact"/>
        <w:ind w:firstLine="480"/>
        <w:rPr>
          <w:rFonts w:ascii="Times New Roman" w:hAnsi="Times New Roman" w:eastAsia="宋体"/>
          <w:szCs w:val="21"/>
        </w:rPr>
      </w:pPr>
      <w:r>
        <w:rPr>
          <w:rFonts w:hint="eastAsia" w:ascii="宋体" w:eastAsia="宋体"/>
          <w:sz w:val="24"/>
        </w:rPr>
        <w:t>10.5招募响应文件的正本和全部副本均应使用不能擦去的墨料或墨水打印或书写，并由合作方授权代表签署。</w:t>
      </w:r>
    </w:p>
    <w:p w14:paraId="776F48EE">
      <w:pPr>
        <w:spacing w:line="440" w:lineRule="exact"/>
        <w:ind w:firstLine="480"/>
        <w:rPr>
          <w:rFonts w:ascii="Times New Roman" w:hAnsi="Times New Roman" w:eastAsia="宋体"/>
          <w:szCs w:val="21"/>
        </w:rPr>
      </w:pPr>
      <w:r>
        <w:rPr>
          <w:rFonts w:hint="eastAsia" w:ascii="宋体" w:eastAsia="宋体"/>
          <w:sz w:val="24"/>
        </w:rPr>
        <w:t>10.6全套招募响应文件应无涂改和行间插字，除非这些改动是根据</w:t>
      </w:r>
      <w:r>
        <w:rPr>
          <w:rFonts w:hint="eastAsia" w:ascii="宋体"/>
          <w:sz w:val="24"/>
        </w:rPr>
        <w:t>招募</w:t>
      </w:r>
      <w:r>
        <w:rPr>
          <w:rFonts w:hint="eastAsia" w:ascii="宋体" w:eastAsia="宋体"/>
          <w:sz w:val="24"/>
        </w:rPr>
        <w:t>人的指示进行的，或者是为改正合作方造成的必须修改的错误而进行的。有改动时，修改处应由合作方授权代表签署证明或加盖校正章。</w:t>
      </w:r>
    </w:p>
    <w:p w14:paraId="594B2A79">
      <w:pPr>
        <w:spacing w:line="440" w:lineRule="exact"/>
        <w:rPr>
          <w:rFonts w:ascii="Times New Roman" w:hAnsi="Times New Roman" w:eastAsia="宋体"/>
          <w:szCs w:val="21"/>
        </w:rPr>
      </w:pPr>
      <w:r>
        <w:rPr>
          <w:rFonts w:hint="eastAsia" w:ascii="宋体" w:eastAsia="宋体"/>
          <w:sz w:val="24"/>
        </w:rPr>
        <w:t>11. 招募响应文件的递交</w:t>
      </w:r>
    </w:p>
    <w:p w14:paraId="7E038B9D">
      <w:pPr>
        <w:spacing w:line="440" w:lineRule="exact"/>
        <w:rPr>
          <w:rFonts w:ascii="Times New Roman" w:hAnsi="Times New Roman" w:eastAsia="宋体"/>
          <w:szCs w:val="21"/>
        </w:rPr>
      </w:pPr>
      <w:r>
        <w:rPr>
          <w:rFonts w:hint="eastAsia" w:ascii="宋体" w:eastAsia="宋体"/>
          <w:sz w:val="24"/>
        </w:rPr>
        <w:t xml:space="preserve">    11.1招募响应文件应在</w:t>
      </w:r>
      <w:r>
        <w:rPr>
          <w:rFonts w:hint="eastAsia" w:ascii="宋体"/>
          <w:sz w:val="24"/>
        </w:rPr>
        <w:t>招募</w:t>
      </w:r>
      <w:r>
        <w:rPr>
          <w:rFonts w:hint="eastAsia" w:ascii="宋体" w:eastAsia="宋体"/>
          <w:sz w:val="24"/>
        </w:rPr>
        <w:t>邀请中规定的截止时间前密封送达，迟到的文件将被拒绝。</w:t>
      </w:r>
    </w:p>
    <w:p w14:paraId="0AC4200B">
      <w:pPr>
        <w:spacing w:line="440" w:lineRule="exact"/>
        <w:rPr>
          <w:rFonts w:ascii="Times New Roman" w:hAnsi="Times New Roman" w:eastAsia="宋体"/>
          <w:szCs w:val="21"/>
        </w:rPr>
      </w:pPr>
      <w:r>
        <w:rPr>
          <w:rFonts w:hint="eastAsia" w:ascii="宋体" w:eastAsia="宋体"/>
          <w:sz w:val="24"/>
        </w:rPr>
        <w:t xml:space="preserve">    11.2招募响应文件可以邮寄或派人送达，传真件不被接受。</w:t>
      </w:r>
    </w:p>
    <w:p w14:paraId="01EF77F8">
      <w:pPr>
        <w:spacing w:line="440" w:lineRule="exact"/>
        <w:rPr>
          <w:rFonts w:ascii="Times New Roman" w:hAnsi="Times New Roman" w:eastAsia="宋体"/>
          <w:szCs w:val="21"/>
        </w:rPr>
      </w:pPr>
      <w:r>
        <w:rPr>
          <w:rFonts w:hint="eastAsia" w:ascii="宋体" w:eastAsia="宋体"/>
          <w:sz w:val="24"/>
        </w:rPr>
        <w:t xml:space="preserve">    11.3合作方提交的文件将给予保密，但不退回。</w:t>
      </w:r>
    </w:p>
    <w:p w14:paraId="7B0D9A04">
      <w:pPr>
        <w:spacing w:line="440" w:lineRule="exact"/>
        <w:rPr>
          <w:rFonts w:ascii="Times New Roman" w:hAnsi="Times New Roman" w:eastAsia="宋体"/>
          <w:szCs w:val="21"/>
        </w:rPr>
      </w:pPr>
      <w:r>
        <w:rPr>
          <w:rFonts w:hint="eastAsia" w:ascii="宋体" w:eastAsia="宋体"/>
          <w:sz w:val="24"/>
        </w:rPr>
        <w:t xml:space="preserve"> </w:t>
      </w:r>
    </w:p>
    <w:p w14:paraId="1F678B05">
      <w:pPr>
        <w:spacing w:line="440" w:lineRule="exact"/>
        <w:jc w:val="center"/>
        <w:rPr>
          <w:rFonts w:ascii="Times New Roman" w:hAnsi="Times New Roman" w:eastAsia="宋体"/>
          <w:szCs w:val="21"/>
        </w:rPr>
      </w:pPr>
      <w:r>
        <w:rPr>
          <w:rFonts w:hint="eastAsia" w:ascii="宋体" w:eastAsia="宋体"/>
          <w:b/>
          <w:bCs/>
          <w:sz w:val="24"/>
        </w:rPr>
        <w:t>E  招募响应文件的评估和比较</w:t>
      </w:r>
    </w:p>
    <w:p w14:paraId="32A021DF">
      <w:pPr>
        <w:spacing w:line="440" w:lineRule="exact"/>
        <w:rPr>
          <w:rFonts w:ascii="Times New Roman" w:hAnsi="Times New Roman" w:eastAsia="宋体"/>
          <w:szCs w:val="21"/>
        </w:rPr>
      </w:pPr>
      <w:r>
        <w:rPr>
          <w:rFonts w:hint="eastAsia" w:ascii="宋体" w:eastAsia="宋体"/>
          <w:sz w:val="24"/>
        </w:rPr>
        <w:t xml:space="preserve"> </w:t>
      </w:r>
    </w:p>
    <w:p w14:paraId="0C2EE531">
      <w:pPr>
        <w:spacing w:line="440" w:lineRule="exact"/>
        <w:rPr>
          <w:rFonts w:ascii="Times New Roman" w:hAnsi="Times New Roman" w:eastAsia="宋体"/>
          <w:szCs w:val="21"/>
        </w:rPr>
      </w:pPr>
      <w:r>
        <w:rPr>
          <w:rFonts w:hint="eastAsia" w:ascii="宋体" w:eastAsia="宋体"/>
          <w:sz w:val="24"/>
        </w:rPr>
        <w:t>12．评议时间</w:t>
      </w:r>
    </w:p>
    <w:p w14:paraId="7019E611">
      <w:pPr>
        <w:spacing w:line="440" w:lineRule="exact"/>
        <w:rPr>
          <w:rFonts w:ascii="Times New Roman" w:hAnsi="Times New Roman" w:eastAsia="宋体"/>
          <w:szCs w:val="21"/>
        </w:rPr>
      </w:pPr>
      <w:r>
        <w:rPr>
          <w:rFonts w:hint="eastAsia" w:ascii="宋体" w:eastAsia="宋体"/>
          <w:sz w:val="24"/>
        </w:rPr>
        <w:t xml:space="preserve">    12.1</w:t>
      </w:r>
      <w:r>
        <w:rPr>
          <w:rFonts w:hint="eastAsia" w:ascii="宋体"/>
          <w:sz w:val="24"/>
        </w:rPr>
        <w:t>招募</w:t>
      </w:r>
      <w:r>
        <w:rPr>
          <w:rFonts w:hint="eastAsia" w:ascii="宋体" w:eastAsia="宋体"/>
          <w:sz w:val="24"/>
        </w:rPr>
        <w:t>人将在招募响应文件送达后的适当时间里组织评审委员会对招募响应文件进行评议。</w:t>
      </w:r>
    </w:p>
    <w:p w14:paraId="06065CF8">
      <w:pPr>
        <w:spacing w:line="440" w:lineRule="exact"/>
        <w:rPr>
          <w:rFonts w:ascii="Times New Roman" w:hAnsi="Times New Roman" w:eastAsia="宋体"/>
          <w:szCs w:val="21"/>
        </w:rPr>
      </w:pPr>
      <w:r>
        <w:rPr>
          <w:rFonts w:hint="eastAsia" w:ascii="宋体" w:eastAsia="宋体"/>
          <w:sz w:val="24"/>
        </w:rPr>
        <w:t>13．评审委员会</w:t>
      </w:r>
    </w:p>
    <w:p w14:paraId="6DBAB5E8">
      <w:pPr>
        <w:spacing w:line="440" w:lineRule="exact"/>
        <w:rPr>
          <w:rFonts w:ascii="Times New Roman" w:hAnsi="Times New Roman" w:eastAsia="宋体"/>
          <w:szCs w:val="21"/>
        </w:rPr>
      </w:pPr>
      <w:r>
        <w:rPr>
          <w:rFonts w:hint="eastAsia" w:ascii="宋体" w:eastAsia="宋体"/>
          <w:sz w:val="24"/>
        </w:rPr>
        <w:t xml:space="preserve">    13.1</w:t>
      </w:r>
      <w:r>
        <w:rPr>
          <w:rFonts w:hint="eastAsia" w:ascii="宋体"/>
          <w:sz w:val="24"/>
        </w:rPr>
        <w:t>招募</w:t>
      </w:r>
      <w:r>
        <w:rPr>
          <w:rFonts w:hint="eastAsia" w:ascii="宋体" w:eastAsia="宋体"/>
          <w:sz w:val="24"/>
        </w:rPr>
        <w:t>人将根据项目的特点组建评审委员会，评审委员会将对招募响应文件进行审查、质疑、评估和比较，并做出授予合同的建议。</w:t>
      </w:r>
    </w:p>
    <w:p w14:paraId="3FAF6B64">
      <w:pPr>
        <w:spacing w:line="440" w:lineRule="exact"/>
        <w:rPr>
          <w:rFonts w:ascii="Times New Roman" w:hAnsi="Times New Roman" w:eastAsia="宋体"/>
          <w:szCs w:val="21"/>
        </w:rPr>
      </w:pPr>
      <w:r>
        <w:rPr>
          <w:rFonts w:hint="eastAsia" w:ascii="宋体" w:eastAsia="宋体"/>
          <w:sz w:val="24"/>
        </w:rPr>
        <w:t>14. 对招募响应文件的审查和响应性的确定</w:t>
      </w:r>
    </w:p>
    <w:p w14:paraId="5387B22B">
      <w:pPr>
        <w:spacing w:line="440" w:lineRule="exact"/>
        <w:rPr>
          <w:rFonts w:ascii="Times New Roman" w:hAnsi="Times New Roman" w:eastAsia="宋体"/>
          <w:szCs w:val="21"/>
        </w:rPr>
      </w:pPr>
      <w:r>
        <w:rPr>
          <w:rFonts w:hint="eastAsia" w:ascii="宋体" w:eastAsia="宋体"/>
          <w:sz w:val="24"/>
        </w:rPr>
        <w:t xml:space="preserve">    14.1 在对报价文件详细评估之前，评审委员会将依据合作方提交的资格证明文件，审查其法人资格、营业范围等。如果合作方无资格履行合同，其招募响应文件将被拒绝。</w:t>
      </w:r>
    </w:p>
    <w:p w14:paraId="30B5F5B4">
      <w:pPr>
        <w:spacing w:line="440" w:lineRule="exact"/>
        <w:rPr>
          <w:rFonts w:ascii="Times New Roman" w:hAnsi="Times New Roman" w:eastAsia="宋体"/>
          <w:szCs w:val="21"/>
        </w:rPr>
      </w:pPr>
      <w:r>
        <w:rPr>
          <w:rFonts w:hint="eastAsia" w:ascii="宋体" w:eastAsia="宋体"/>
          <w:sz w:val="24"/>
        </w:rPr>
        <w:t xml:space="preserve">    14.2 评审委员会还将确定招募响应文件是否对</w:t>
      </w:r>
      <w:r>
        <w:rPr>
          <w:rFonts w:hint="eastAsia" w:ascii="宋体"/>
          <w:sz w:val="24"/>
        </w:rPr>
        <w:t>招募</w:t>
      </w:r>
      <w:r>
        <w:rPr>
          <w:rFonts w:hint="eastAsia" w:ascii="宋体" w:eastAsia="宋体"/>
          <w:sz w:val="24"/>
        </w:rPr>
        <w:t>文件的要求作出实质性响应，对没有实质性响应的招募响应文件将不进行评估。</w:t>
      </w:r>
    </w:p>
    <w:p w14:paraId="4C6FB3D2">
      <w:pPr>
        <w:spacing w:line="440" w:lineRule="exact"/>
        <w:rPr>
          <w:rFonts w:ascii="Times New Roman" w:hAnsi="Times New Roman" w:eastAsia="宋体"/>
          <w:szCs w:val="21"/>
        </w:rPr>
      </w:pPr>
      <w:r>
        <w:rPr>
          <w:rFonts w:hint="eastAsia" w:ascii="宋体" w:eastAsia="宋体"/>
          <w:sz w:val="24"/>
        </w:rPr>
        <w:t>15．评估原则及方法</w:t>
      </w:r>
    </w:p>
    <w:p w14:paraId="6A1D9792">
      <w:pPr>
        <w:spacing w:line="440" w:lineRule="exact"/>
        <w:rPr>
          <w:rFonts w:ascii="Times New Roman" w:hAnsi="Times New Roman" w:eastAsia="宋体"/>
          <w:szCs w:val="21"/>
        </w:rPr>
      </w:pPr>
      <w:r>
        <w:rPr>
          <w:rFonts w:hint="eastAsia" w:ascii="宋体" w:eastAsia="宋体"/>
          <w:sz w:val="24"/>
        </w:rPr>
        <w:t xml:space="preserve">    15.1对所有合作方的评估，都采用相同的程序和标准。</w:t>
      </w:r>
    </w:p>
    <w:p w14:paraId="79294201">
      <w:pPr>
        <w:spacing w:line="440" w:lineRule="exact"/>
        <w:rPr>
          <w:rFonts w:ascii="Times New Roman" w:hAnsi="Times New Roman" w:eastAsia="宋体"/>
          <w:szCs w:val="21"/>
        </w:rPr>
      </w:pPr>
      <w:r>
        <w:rPr>
          <w:rFonts w:hint="eastAsia" w:ascii="宋体" w:eastAsia="宋体"/>
          <w:sz w:val="24"/>
        </w:rPr>
        <w:t xml:space="preserve">    15.2评议过程将严格按照</w:t>
      </w:r>
      <w:r>
        <w:rPr>
          <w:rFonts w:hint="eastAsia" w:ascii="宋体"/>
          <w:sz w:val="24"/>
        </w:rPr>
        <w:t>招募</w:t>
      </w:r>
      <w:r>
        <w:rPr>
          <w:rFonts w:hint="eastAsia" w:ascii="宋体" w:eastAsia="宋体"/>
          <w:sz w:val="24"/>
        </w:rPr>
        <w:t>文件的要求和条件进行。</w:t>
      </w:r>
    </w:p>
    <w:p w14:paraId="314BC067">
      <w:pPr>
        <w:spacing w:line="440" w:lineRule="exact"/>
        <w:rPr>
          <w:rFonts w:ascii="Times New Roman" w:hAnsi="Times New Roman" w:eastAsia="宋体"/>
          <w:szCs w:val="21"/>
        </w:rPr>
      </w:pPr>
      <w:r>
        <w:rPr>
          <w:rFonts w:hint="eastAsia" w:ascii="宋体" w:eastAsia="宋体"/>
          <w:sz w:val="24"/>
        </w:rPr>
        <w:t xml:space="preserve">    15.3评审委员会将经综合分析、比较，根据按合作方须知前附表第5项及附件1合作方招募评分规则所述的标准推荐中选候选人。</w:t>
      </w:r>
    </w:p>
    <w:p w14:paraId="138E4540">
      <w:pPr>
        <w:spacing w:line="440" w:lineRule="exact"/>
        <w:jc w:val="center"/>
        <w:rPr>
          <w:rFonts w:ascii="Times New Roman" w:hAnsi="Times New Roman" w:eastAsia="宋体"/>
          <w:szCs w:val="21"/>
        </w:rPr>
      </w:pPr>
      <w:r>
        <w:rPr>
          <w:rFonts w:hint="eastAsia" w:ascii="宋体" w:eastAsia="宋体"/>
          <w:b/>
          <w:bCs/>
          <w:sz w:val="24"/>
        </w:rPr>
        <w:t xml:space="preserve"> </w:t>
      </w:r>
    </w:p>
    <w:p w14:paraId="40C4EDAD">
      <w:pPr>
        <w:spacing w:line="440" w:lineRule="exact"/>
        <w:jc w:val="center"/>
        <w:rPr>
          <w:rFonts w:ascii="Times New Roman" w:hAnsi="Times New Roman" w:eastAsia="宋体"/>
          <w:szCs w:val="21"/>
        </w:rPr>
      </w:pPr>
      <w:r>
        <w:rPr>
          <w:rFonts w:hint="eastAsia" w:ascii="宋体" w:eastAsia="宋体"/>
          <w:b/>
          <w:bCs/>
          <w:sz w:val="24"/>
        </w:rPr>
        <w:t>F  授予合同</w:t>
      </w:r>
    </w:p>
    <w:p w14:paraId="1CF4857A">
      <w:pPr>
        <w:spacing w:line="440" w:lineRule="exact"/>
        <w:rPr>
          <w:rFonts w:ascii="Times New Roman" w:hAnsi="Times New Roman" w:eastAsia="宋体"/>
          <w:szCs w:val="21"/>
        </w:rPr>
      </w:pPr>
      <w:r>
        <w:rPr>
          <w:rFonts w:hint="eastAsia" w:ascii="宋体" w:eastAsia="宋体"/>
          <w:sz w:val="24"/>
        </w:rPr>
        <w:t xml:space="preserve"> </w:t>
      </w:r>
    </w:p>
    <w:p w14:paraId="301B8CE4">
      <w:pPr>
        <w:spacing w:line="440" w:lineRule="exact"/>
        <w:rPr>
          <w:rFonts w:ascii="Times New Roman" w:hAnsi="Times New Roman" w:eastAsia="宋体"/>
          <w:szCs w:val="21"/>
        </w:rPr>
      </w:pPr>
      <w:r>
        <w:rPr>
          <w:rFonts w:hint="eastAsia" w:ascii="宋体" w:eastAsia="宋体"/>
          <w:sz w:val="24"/>
        </w:rPr>
        <w:t>16. 授予合同的准则</w:t>
      </w:r>
    </w:p>
    <w:p w14:paraId="3CF16AE2">
      <w:pPr>
        <w:spacing w:line="440" w:lineRule="exact"/>
        <w:rPr>
          <w:rFonts w:ascii="Times New Roman" w:hAnsi="Times New Roman" w:eastAsia="宋体"/>
          <w:szCs w:val="21"/>
        </w:rPr>
      </w:pPr>
      <w:r>
        <w:rPr>
          <w:rFonts w:hint="eastAsia" w:ascii="宋体" w:eastAsia="宋体"/>
          <w:sz w:val="24"/>
        </w:rPr>
        <w:t xml:space="preserve">    16.1合同将授予其招募响应文件符合</w:t>
      </w:r>
      <w:r>
        <w:rPr>
          <w:rFonts w:hint="eastAsia" w:ascii="宋体"/>
          <w:sz w:val="24"/>
        </w:rPr>
        <w:t>招募</w:t>
      </w:r>
      <w:r>
        <w:rPr>
          <w:rFonts w:hint="eastAsia" w:ascii="宋体" w:eastAsia="宋体"/>
          <w:sz w:val="24"/>
        </w:rPr>
        <w:t>文件要求，并被推荐为中选候选人的合作方。</w:t>
      </w:r>
    </w:p>
    <w:p w14:paraId="2216A585">
      <w:pPr>
        <w:spacing w:line="440" w:lineRule="exact"/>
        <w:ind w:firstLine="468"/>
        <w:rPr>
          <w:rFonts w:ascii="Times New Roman" w:hAnsi="Times New Roman" w:eastAsia="宋体"/>
          <w:szCs w:val="21"/>
        </w:rPr>
      </w:pPr>
      <w:r>
        <w:rPr>
          <w:rFonts w:hint="eastAsia" w:ascii="宋体" w:eastAsia="宋体"/>
          <w:sz w:val="24"/>
        </w:rPr>
        <w:t>16.2 最低报价不是被授予合同的保证。</w:t>
      </w:r>
    </w:p>
    <w:p w14:paraId="09F48014">
      <w:pPr>
        <w:spacing w:line="440" w:lineRule="exact"/>
        <w:ind w:firstLine="468"/>
        <w:rPr>
          <w:rFonts w:ascii="Times New Roman" w:hAnsi="Times New Roman" w:eastAsia="宋体"/>
          <w:szCs w:val="21"/>
        </w:rPr>
      </w:pPr>
      <w:r>
        <w:rPr>
          <w:rFonts w:hint="eastAsia" w:ascii="宋体" w:eastAsia="宋体"/>
          <w:sz w:val="24"/>
        </w:rPr>
        <w:t xml:space="preserve">16.3 </w:t>
      </w:r>
      <w:r>
        <w:rPr>
          <w:rFonts w:ascii="宋体" w:eastAsia="宋体"/>
          <w:sz w:val="24"/>
        </w:rPr>
        <w:t>买方</w:t>
      </w:r>
      <w:r>
        <w:rPr>
          <w:rFonts w:hint="eastAsia" w:ascii="宋体" w:eastAsia="宋体"/>
          <w:sz w:val="24"/>
        </w:rPr>
        <w:t>在授予合同时有权对</w:t>
      </w:r>
      <w:r>
        <w:rPr>
          <w:rFonts w:hint="eastAsia" w:ascii="宋体"/>
          <w:sz w:val="24"/>
        </w:rPr>
        <w:t>招募</w:t>
      </w:r>
      <w:r>
        <w:rPr>
          <w:rFonts w:hint="eastAsia" w:ascii="宋体" w:eastAsia="宋体"/>
          <w:sz w:val="24"/>
        </w:rPr>
        <w:t>货物数量和服务予以增加或减少。</w:t>
      </w:r>
    </w:p>
    <w:p w14:paraId="586C0365">
      <w:pPr>
        <w:spacing w:line="440" w:lineRule="exact"/>
        <w:rPr>
          <w:rFonts w:ascii="Times New Roman" w:hAnsi="Times New Roman" w:eastAsia="宋体"/>
          <w:szCs w:val="21"/>
        </w:rPr>
      </w:pPr>
      <w:r>
        <w:rPr>
          <w:rFonts w:hint="eastAsia" w:ascii="宋体" w:eastAsia="宋体"/>
          <w:sz w:val="24"/>
        </w:rPr>
        <w:t>17. 结果通知</w:t>
      </w:r>
    </w:p>
    <w:p w14:paraId="7E9F5D5F">
      <w:pPr>
        <w:spacing w:line="440" w:lineRule="exact"/>
        <w:ind w:firstLine="468"/>
        <w:rPr>
          <w:rFonts w:ascii="Times New Roman" w:hAnsi="Times New Roman" w:eastAsia="宋体"/>
          <w:szCs w:val="21"/>
        </w:rPr>
      </w:pPr>
      <w:r>
        <w:rPr>
          <w:rFonts w:hint="eastAsia" w:ascii="宋体" w:eastAsia="宋体"/>
          <w:sz w:val="24"/>
        </w:rPr>
        <w:t>17.1</w:t>
      </w:r>
      <w:r>
        <w:rPr>
          <w:rFonts w:hint="eastAsia" w:ascii="宋体"/>
          <w:sz w:val="24"/>
        </w:rPr>
        <w:t>招募</w:t>
      </w:r>
      <w:r>
        <w:rPr>
          <w:rFonts w:hint="eastAsia" w:ascii="宋体" w:eastAsia="宋体"/>
          <w:sz w:val="24"/>
        </w:rPr>
        <w:t>人将根据评审结果及买方确认意见，向中选合作方发出通知书。</w:t>
      </w:r>
    </w:p>
    <w:p w14:paraId="32116542">
      <w:pPr>
        <w:spacing w:line="440" w:lineRule="exact"/>
        <w:rPr>
          <w:rFonts w:ascii="Times New Roman" w:hAnsi="Times New Roman" w:eastAsia="宋体"/>
          <w:szCs w:val="21"/>
        </w:rPr>
      </w:pPr>
      <w:r>
        <w:rPr>
          <w:rFonts w:hint="eastAsia" w:ascii="宋体" w:eastAsia="宋体"/>
          <w:sz w:val="24"/>
        </w:rPr>
        <w:t>18．签订合同</w:t>
      </w:r>
    </w:p>
    <w:p w14:paraId="3A4C2425">
      <w:pPr>
        <w:spacing w:line="440" w:lineRule="exact"/>
        <w:ind w:firstLine="468"/>
        <w:rPr>
          <w:rFonts w:ascii="Times New Roman" w:hAnsi="Times New Roman" w:eastAsia="宋体"/>
          <w:szCs w:val="21"/>
        </w:rPr>
      </w:pPr>
      <w:r>
        <w:rPr>
          <w:rFonts w:hint="eastAsia" w:ascii="宋体" w:eastAsia="宋体"/>
          <w:sz w:val="24"/>
        </w:rPr>
        <w:t>18.1中选合作方须按通知书指定的时间、地点与买方签订经济合同。</w:t>
      </w:r>
    </w:p>
    <w:p w14:paraId="4B6BCD80">
      <w:pPr>
        <w:spacing w:line="440" w:lineRule="exact"/>
        <w:ind w:firstLine="468"/>
        <w:rPr>
          <w:rFonts w:ascii="Times New Roman" w:hAnsi="Times New Roman" w:eastAsia="宋体"/>
          <w:szCs w:val="21"/>
        </w:rPr>
      </w:pPr>
      <w:r>
        <w:rPr>
          <w:rFonts w:hint="eastAsia" w:ascii="宋体" w:eastAsia="宋体"/>
          <w:sz w:val="24"/>
        </w:rPr>
        <w:t>18.2</w:t>
      </w:r>
      <w:r>
        <w:rPr>
          <w:rFonts w:hint="eastAsia" w:ascii="宋体"/>
          <w:sz w:val="24"/>
        </w:rPr>
        <w:t>招募响应</w:t>
      </w:r>
      <w:r>
        <w:rPr>
          <w:rFonts w:hint="eastAsia" w:ascii="宋体" w:eastAsia="宋体"/>
          <w:sz w:val="24"/>
        </w:rPr>
        <w:t>文件、报价被接受的报价人的报价文件及其澄清文件等，均为签订经济合同的依据。</w:t>
      </w:r>
    </w:p>
    <w:p w14:paraId="3E0D74ED">
      <w:pPr>
        <w:spacing w:line="440" w:lineRule="exact"/>
        <w:rPr>
          <w:rFonts w:asciiTheme="minorEastAsia" w:hAnsiTheme="minorEastAsia" w:cstheme="minorEastAsia"/>
          <w:sz w:val="28"/>
          <w:szCs w:val="28"/>
        </w:rPr>
      </w:pPr>
    </w:p>
    <w:p w14:paraId="3A363748">
      <w:pPr>
        <w:spacing w:line="440" w:lineRule="exact"/>
        <w:ind w:firstLine="468"/>
        <w:rPr>
          <w:rFonts w:asciiTheme="minorEastAsia" w:hAnsiTheme="minorEastAsia" w:cstheme="minorEastAsia"/>
          <w:sz w:val="28"/>
          <w:szCs w:val="28"/>
        </w:rPr>
      </w:pPr>
    </w:p>
    <w:p w14:paraId="00293866">
      <w:pPr>
        <w:spacing w:line="440" w:lineRule="exact"/>
        <w:rPr>
          <w:rFonts w:asciiTheme="minorEastAsia" w:hAnsiTheme="minorEastAsia" w:cstheme="minorEastAsia"/>
          <w:sz w:val="28"/>
          <w:szCs w:val="28"/>
        </w:rPr>
      </w:pPr>
    </w:p>
    <w:p w14:paraId="316B742F">
      <w:pPr>
        <w:pStyle w:val="4"/>
        <w:rPr>
          <w:rFonts w:asciiTheme="minorEastAsia" w:hAnsiTheme="minorEastAsia" w:cstheme="minorEastAsia"/>
          <w:b w:val="0"/>
          <w:szCs w:val="28"/>
        </w:rPr>
      </w:pPr>
    </w:p>
    <w:p w14:paraId="0D31D6D6"/>
    <w:p w14:paraId="5F43F721">
      <w:pPr>
        <w:pStyle w:val="4"/>
      </w:pPr>
    </w:p>
    <w:p w14:paraId="53682E96"/>
    <w:p w14:paraId="71A5DE51">
      <w:pPr>
        <w:pStyle w:val="4"/>
      </w:pPr>
    </w:p>
    <w:p w14:paraId="67BE57A5"/>
    <w:p w14:paraId="2329AA63"/>
    <w:p w14:paraId="6FFFB383">
      <w:pPr>
        <w:pStyle w:val="4"/>
      </w:pPr>
    </w:p>
    <w:p w14:paraId="4F9DD43C"/>
    <w:p w14:paraId="5E1BCDB5">
      <w:pPr>
        <w:tabs>
          <w:tab w:val="left" w:pos="0"/>
        </w:tabs>
        <w:outlineLvl w:val="0"/>
        <w:rPr>
          <w:rFonts w:ascii="宋体" w:cs="宋体"/>
          <w:b/>
          <w:color w:val="000000"/>
          <w:sz w:val="36"/>
        </w:rPr>
      </w:pPr>
    </w:p>
    <w:p w14:paraId="4683EB09">
      <w:pPr>
        <w:tabs>
          <w:tab w:val="left" w:pos="0"/>
        </w:tabs>
        <w:jc w:val="center"/>
        <w:outlineLvl w:val="0"/>
        <w:rPr>
          <w:rFonts w:ascii="宋体" w:cs="宋体"/>
          <w:b/>
          <w:sz w:val="36"/>
        </w:rPr>
      </w:pPr>
      <w:bookmarkStart w:id="40" w:name="_Toc31934"/>
      <w:bookmarkStart w:id="41" w:name="_Toc13351"/>
      <w:bookmarkStart w:id="42" w:name="_Toc13422"/>
      <w:bookmarkStart w:id="43" w:name="_Toc16818"/>
      <w:r>
        <w:rPr>
          <w:rFonts w:hint="eastAsia" w:ascii="宋体" w:cs="宋体"/>
          <w:b/>
          <w:sz w:val="36"/>
        </w:rPr>
        <w:t>第三部分 招募内容及要求</w:t>
      </w:r>
      <w:bookmarkEnd w:id="40"/>
      <w:bookmarkEnd w:id="41"/>
      <w:bookmarkEnd w:id="42"/>
      <w:bookmarkEnd w:id="43"/>
    </w:p>
    <w:p w14:paraId="6CB96FB4">
      <w:pPr>
        <w:tabs>
          <w:tab w:val="left" w:pos="0"/>
        </w:tabs>
        <w:outlineLvl w:val="0"/>
        <w:rPr>
          <w:rFonts w:ascii="宋体" w:cs="宋体"/>
          <w:b/>
          <w:sz w:val="36"/>
        </w:rPr>
      </w:pPr>
    </w:p>
    <w:p w14:paraId="35B10FC2">
      <w:pPr>
        <w:numPr>
          <w:ilvl w:val="0"/>
          <w:numId w:val="5"/>
        </w:numPr>
        <w:spacing w:line="360" w:lineRule="auto"/>
        <w:jc w:val="left"/>
        <w:rPr>
          <w:rFonts w:ascii="宋体" w:cs="宋体"/>
          <w:sz w:val="24"/>
        </w:rPr>
      </w:pPr>
      <w:bookmarkStart w:id="44" w:name="_Toc20210036"/>
      <w:r>
        <w:rPr>
          <w:rFonts w:ascii="宋体" w:cs="宋体"/>
          <w:sz w:val="24"/>
        </w:rPr>
        <w:t>项目概述和要求</w:t>
      </w:r>
    </w:p>
    <w:p w14:paraId="557661F9">
      <w:pPr>
        <w:numPr>
          <w:ilvl w:val="0"/>
          <w:numId w:val="6"/>
        </w:numPr>
        <w:spacing w:line="360" w:lineRule="auto"/>
        <w:ind w:left="0" w:firstLine="425"/>
        <w:jc w:val="left"/>
        <w:rPr>
          <w:rFonts w:ascii="宋体" w:cs="宋体"/>
          <w:sz w:val="24"/>
        </w:rPr>
      </w:pPr>
      <w:r>
        <w:rPr>
          <w:rFonts w:hint="eastAsia" w:ascii="宋体" w:cs="宋体"/>
          <w:sz w:val="24"/>
        </w:rPr>
        <w:t>本次招募为2026年度智融宣传服务合作方招募。</w:t>
      </w:r>
    </w:p>
    <w:p w14:paraId="5F4B6332">
      <w:pPr>
        <w:numPr>
          <w:ilvl w:val="0"/>
          <w:numId w:val="6"/>
        </w:numPr>
        <w:spacing w:line="360" w:lineRule="auto"/>
        <w:ind w:left="0" w:firstLine="425"/>
        <w:jc w:val="left"/>
        <w:rPr>
          <w:rFonts w:ascii="宋体" w:cs="宋体"/>
          <w:sz w:val="24"/>
        </w:rPr>
      </w:pPr>
      <w:r>
        <w:rPr>
          <w:rFonts w:hint="eastAsia" w:ascii="宋体" w:cs="宋体"/>
          <w:sz w:val="24"/>
        </w:rPr>
        <w:t>合作方对招募文件中提出的要求，应在招募响应文件中逐项答复，提供相关资料，以便招募评委会能做出准确判断和评估，否则将可能导致招募评委会做出不利于合作方的评议。</w:t>
      </w:r>
    </w:p>
    <w:p w14:paraId="516948E6">
      <w:pPr>
        <w:spacing w:line="360" w:lineRule="auto"/>
        <w:ind w:left="425"/>
        <w:jc w:val="left"/>
        <w:rPr>
          <w:rFonts w:ascii="宋体" w:cs="宋体"/>
          <w:sz w:val="24"/>
        </w:rPr>
      </w:pPr>
    </w:p>
    <w:bookmarkEnd w:id="44"/>
    <w:p w14:paraId="4C71DDCA">
      <w:pPr>
        <w:numPr>
          <w:ilvl w:val="0"/>
          <w:numId w:val="5"/>
        </w:numPr>
        <w:spacing w:line="360" w:lineRule="auto"/>
        <w:jc w:val="left"/>
        <w:rPr>
          <w:rFonts w:ascii="宋体" w:cs="宋体"/>
          <w:sz w:val="24"/>
        </w:rPr>
      </w:pPr>
      <w:bookmarkStart w:id="45" w:name="_Toc20210037"/>
      <w:r>
        <w:rPr>
          <w:rFonts w:ascii="宋体" w:cs="宋体"/>
          <w:sz w:val="24"/>
        </w:rPr>
        <w:t>项目具体需求和内容</w:t>
      </w:r>
    </w:p>
    <w:p w14:paraId="24AF8B46">
      <w:pPr>
        <w:spacing w:line="360" w:lineRule="auto"/>
        <w:ind w:left="-61" w:leftChars="-29" w:firstLine="480" w:firstLineChars="200"/>
        <w:jc w:val="left"/>
        <w:rPr>
          <w:rFonts w:ascii="宋体" w:cs="宋体"/>
          <w:sz w:val="24"/>
        </w:rPr>
      </w:pPr>
      <w:r>
        <w:rPr>
          <w:rFonts w:hint="eastAsia" w:ascii="宋体" w:cs="宋体"/>
          <w:sz w:val="24"/>
        </w:rPr>
        <w:t>本次招募内容为2026年度智融宣传服务一体化合作方，详见第一部分 招募邀请。</w:t>
      </w:r>
    </w:p>
    <w:p w14:paraId="345E9042">
      <w:pPr>
        <w:spacing w:line="360" w:lineRule="auto"/>
        <w:ind w:left="-61" w:leftChars="-29" w:firstLine="480" w:firstLineChars="200"/>
        <w:jc w:val="left"/>
        <w:rPr>
          <w:rFonts w:ascii="宋体" w:cs="宋体"/>
          <w:sz w:val="24"/>
        </w:rPr>
      </w:pPr>
    </w:p>
    <w:p w14:paraId="57A4D068">
      <w:pPr>
        <w:numPr>
          <w:ilvl w:val="0"/>
          <w:numId w:val="5"/>
        </w:numPr>
        <w:spacing w:line="360" w:lineRule="auto"/>
        <w:rPr>
          <w:rFonts w:ascii="宋体" w:cs="宋体"/>
          <w:color w:val="000000"/>
          <w:sz w:val="24"/>
        </w:rPr>
      </w:pPr>
      <w:r>
        <w:rPr>
          <w:rFonts w:hint="eastAsia" w:ascii="宋体" w:cs="宋体"/>
          <w:color w:val="000000"/>
          <w:sz w:val="24"/>
        </w:rPr>
        <w:t>服务要求</w:t>
      </w:r>
    </w:p>
    <w:p w14:paraId="4DFB0E64">
      <w:pPr>
        <w:spacing w:line="360" w:lineRule="auto"/>
        <w:ind w:left="-61" w:leftChars="-29" w:firstLine="480" w:firstLineChars="200"/>
        <w:jc w:val="left"/>
        <w:rPr>
          <w:rFonts w:ascii="宋体" w:cs="宋体"/>
          <w:sz w:val="24"/>
        </w:rPr>
      </w:pPr>
      <w:r>
        <w:rPr>
          <w:rFonts w:hint="eastAsia" w:ascii="宋体" w:cs="宋体"/>
          <w:sz w:val="24"/>
        </w:rPr>
        <w:t>服务期内，合作方需指定专业人员对接，指导并协助招募方进行相关操作。</w:t>
      </w:r>
      <w:bookmarkEnd w:id="45"/>
      <w:r>
        <w:rPr>
          <w:rFonts w:hint="eastAsia" w:ascii="宋体" w:cs="宋体"/>
          <w:sz w:val="24"/>
        </w:rPr>
        <w:t>合作方必须保证服务项目、业务人员和后勤保障团队在服务期间的稳定，保证服务期间不会出现因信息服务中断、业务人员调动、后勤保障不力而出现服务断档现象，同时要保证业务工作和服务质量。</w:t>
      </w:r>
    </w:p>
    <w:p w14:paraId="0DA87420">
      <w:pPr>
        <w:pStyle w:val="2"/>
        <w:numPr>
          <w:ilvl w:val="255"/>
          <w:numId w:val="0"/>
        </w:numPr>
        <w:spacing w:line="400" w:lineRule="exact"/>
        <w:jc w:val="center"/>
        <w:rPr>
          <w:rFonts w:ascii="宋体" w:hAnsi="Times New Roman" w:eastAsia="宋体" w:cs="Times New Roman"/>
          <w:kern w:val="2"/>
          <w:sz w:val="36"/>
          <w:szCs w:val="36"/>
        </w:rPr>
      </w:pPr>
      <w:bookmarkStart w:id="46" w:name="_Toc9057"/>
      <w:bookmarkStart w:id="47" w:name="_Toc1613"/>
    </w:p>
    <w:p w14:paraId="42F494EE">
      <w:pPr>
        <w:rPr>
          <w:rFonts w:ascii="宋体" w:hAnsi="Times New Roman" w:eastAsia="宋体" w:cs="Times New Roman"/>
          <w:sz w:val="36"/>
          <w:szCs w:val="36"/>
        </w:rPr>
      </w:pPr>
    </w:p>
    <w:p w14:paraId="68600A41">
      <w:pPr>
        <w:rPr>
          <w:rFonts w:ascii="宋体" w:hAnsi="Times New Roman" w:eastAsia="宋体" w:cs="Times New Roman"/>
          <w:sz w:val="36"/>
          <w:szCs w:val="36"/>
        </w:rPr>
      </w:pPr>
    </w:p>
    <w:p w14:paraId="5EAC7A73">
      <w:pPr>
        <w:pStyle w:val="2"/>
        <w:numPr>
          <w:ilvl w:val="255"/>
          <w:numId w:val="0"/>
        </w:numPr>
        <w:spacing w:line="400" w:lineRule="exact"/>
        <w:rPr>
          <w:rFonts w:ascii="宋体" w:hAnsi="Times New Roman" w:eastAsia="宋体" w:cs="Times New Roman"/>
          <w:kern w:val="2"/>
          <w:sz w:val="36"/>
          <w:szCs w:val="36"/>
        </w:rPr>
      </w:pPr>
    </w:p>
    <w:p w14:paraId="4DD87D89">
      <w:pPr>
        <w:pStyle w:val="2"/>
        <w:numPr>
          <w:ilvl w:val="255"/>
          <w:numId w:val="0"/>
        </w:numPr>
        <w:spacing w:line="400" w:lineRule="exact"/>
        <w:rPr>
          <w:rFonts w:ascii="宋体" w:hAnsi="Times New Roman" w:eastAsia="宋体" w:cs="Times New Roman"/>
          <w:kern w:val="2"/>
          <w:sz w:val="36"/>
          <w:szCs w:val="36"/>
        </w:rPr>
      </w:pPr>
    </w:p>
    <w:p w14:paraId="3B6FD146"/>
    <w:p w14:paraId="7FD23575">
      <w:pPr>
        <w:pStyle w:val="2"/>
        <w:numPr>
          <w:ilvl w:val="255"/>
          <w:numId w:val="0"/>
        </w:numPr>
        <w:spacing w:line="400" w:lineRule="exact"/>
        <w:jc w:val="center"/>
        <w:rPr>
          <w:rFonts w:ascii="宋体" w:hAnsi="Times New Roman" w:eastAsia="宋体" w:cs="Times New Roman"/>
          <w:kern w:val="2"/>
          <w:sz w:val="36"/>
          <w:szCs w:val="36"/>
        </w:rPr>
      </w:pPr>
      <w:bookmarkStart w:id="48" w:name="_Toc12841"/>
      <w:bookmarkStart w:id="49" w:name="_Toc24965"/>
      <w:r>
        <w:rPr>
          <w:rFonts w:hint="eastAsia" w:ascii="宋体" w:hAnsi="Times New Roman" w:eastAsia="宋体" w:cs="Times New Roman"/>
          <w:kern w:val="2"/>
          <w:sz w:val="36"/>
          <w:szCs w:val="36"/>
        </w:rPr>
        <w:t xml:space="preserve">第四部分 </w:t>
      </w:r>
      <w:bookmarkStart w:id="50" w:name="_Toc31440"/>
      <w:bookmarkStart w:id="51" w:name="_Toc30143"/>
      <w:r>
        <w:rPr>
          <w:rFonts w:hint="eastAsia" w:ascii="宋体" w:cs="Times New Roman"/>
          <w:kern w:val="2"/>
          <w:sz w:val="36"/>
          <w:szCs w:val="36"/>
        </w:rPr>
        <w:t>招募</w:t>
      </w:r>
      <w:r>
        <w:rPr>
          <w:rFonts w:hint="eastAsia" w:ascii="宋体" w:hAnsi="Times New Roman" w:eastAsia="宋体" w:cs="Times New Roman"/>
          <w:kern w:val="2"/>
          <w:sz w:val="36"/>
          <w:szCs w:val="36"/>
        </w:rPr>
        <w:t>合同（参考文本）</w:t>
      </w:r>
      <w:bookmarkEnd w:id="46"/>
      <w:bookmarkEnd w:id="47"/>
      <w:bookmarkEnd w:id="48"/>
      <w:bookmarkEnd w:id="49"/>
      <w:bookmarkEnd w:id="50"/>
      <w:bookmarkEnd w:id="51"/>
    </w:p>
    <w:p w14:paraId="43375BC5"/>
    <w:p w14:paraId="4BF1461E">
      <w:pPr>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hint="eastAsia" w:ascii="方正小标宋简体" w:hAnsi="方正小标宋简体" w:eastAsia="方正小标宋简体"/>
          <w:color w:val="000000" w:themeColor="text1"/>
          <w:sz w:val="44"/>
          <w:szCs w:val="44"/>
          <w14:textFill>
            <w14:solidFill>
              <w14:schemeClr w14:val="tx1"/>
            </w14:solidFill>
          </w14:textFill>
        </w:rPr>
        <w:t>2</w:t>
      </w:r>
      <w:r>
        <w:rPr>
          <w:rFonts w:ascii="方正小标宋简体" w:hAnsi="方正小标宋简体" w:eastAsia="方正小标宋简体"/>
          <w:color w:val="000000" w:themeColor="text1"/>
          <w:sz w:val="44"/>
          <w:szCs w:val="44"/>
          <w14:textFill>
            <w14:solidFill>
              <w14:schemeClr w14:val="tx1"/>
            </w14:solidFill>
          </w14:textFill>
        </w:rPr>
        <w:t>026</w:t>
      </w:r>
      <w:r>
        <w:rPr>
          <w:rFonts w:hint="eastAsia" w:ascii="方正小标宋简体" w:hAnsi="方正小标宋简体" w:eastAsia="方正小标宋简体"/>
          <w:color w:val="000000" w:themeColor="text1"/>
          <w:sz w:val="44"/>
          <w:szCs w:val="44"/>
          <w14:textFill>
            <w14:solidFill>
              <w14:schemeClr w14:val="tx1"/>
            </w14:solidFill>
          </w14:textFill>
        </w:rPr>
        <w:t>年“</w:t>
      </w:r>
      <w:r>
        <w:rPr>
          <w:rFonts w:ascii="方正小标宋简体" w:hAnsi="方正小标宋简体" w:eastAsia="方正小标宋简体" w:cs="Times New Roman"/>
          <w:color w:val="000000" w:themeColor="text1"/>
          <w:sz w:val="44"/>
          <w:szCs w:val="44"/>
          <w14:textFill>
            <w14:solidFill>
              <w14:schemeClr w14:val="tx1"/>
            </w14:solidFill>
          </w14:textFill>
        </w:rPr>
        <w:t>智慧融媒体宣传</w:t>
      </w:r>
      <w:r>
        <w:rPr>
          <w:rFonts w:hint="eastAsia" w:ascii="方正小标宋简体" w:hAnsi="方正小标宋简体" w:eastAsia="方正小标宋简体" w:cs="Times New Roman"/>
          <w:color w:val="000000" w:themeColor="text1"/>
          <w:sz w:val="44"/>
          <w:szCs w:val="44"/>
          <w14:textFill>
            <w14:solidFill>
              <w14:schemeClr w14:val="tx1"/>
            </w14:solidFill>
          </w14:textFill>
        </w:rPr>
        <w:t>”技术服务</w:t>
      </w:r>
      <w:r>
        <w:rPr>
          <w:rFonts w:hint="eastAsia" w:ascii="方正小标宋简体" w:hAnsi="方正小标宋简体" w:eastAsia="方正小标宋简体" w:cs="黑体"/>
          <w:color w:val="000000" w:themeColor="text1"/>
          <w:sz w:val="44"/>
          <w:szCs w:val="44"/>
          <w14:textFill>
            <w14:solidFill>
              <w14:schemeClr w14:val="tx1"/>
            </w14:solidFill>
          </w14:textFill>
        </w:rPr>
        <w:t>协议</w:t>
      </w:r>
    </w:p>
    <w:p w14:paraId="4DF0AD3E">
      <w:pPr>
        <w:jc w:val="right"/>
        <w:rPr>
          <w:rFonts w:ascii="仿宋_GB2312" w:hAnsi="仿宋_GB2312" w:eastAsia="仿宋_GB2312" w:cs="方正公文小标宋"/>
          <w:color w:val="000000" w:themeColor="text1"/>
          <w:sz w:val="32"/>
          <w:szCs w:val="32"/>
          <w14:textFill>
            <w14:solidFill>
              <w14:schemeClr w14:val="tx1"/>
            </w14:solidFill>
          </w14:textFill>
        </w:rPr>
      </w:pPr>
      <w:r>
        <w:rPr>
          <w:rFonts w:hint="eastAsia" w:ascii="仿宋_GB2312" w:hAnsi="仿宋_GB2312" w:eastAsia="仿宋_GB2312" w:cs="方正公文小标宋"/>
          <w:color w:val="000000" w:themeColor="text1"/>
          <w:sz w:val="32"/>
          <w:szCs w:val="32"/>
          <w14:textFill>
            <w14:solidFill>
              <w14:schemeClr w14:val="tx1"/>
            </w14:solidFill>
          </w14:textFill>
        </w:rPr>
        <w:t>闽广网融科合</w:t>
      </w:r>
      <w:r>
        <w:rPr>
          <w:rFonts w:ascii="仿宋_GB2312" w:hAnsi="仿宋_GB2312" w:eastAsia="仿宋_GB2312" w:cs="方正公文小标宋"/>
          <w:color w:val="000000" w:themeColor="text1"/>
          <w:sz w:val="32"/>
          <w:szCs w:val="32"/>
          <w14:textFill>
            <w14:solidFill>
              <w14:schemeClr w14:val="tx1"/>
            </w14:solidFill>
          </w14:textFill>
        </w:rPr>
        <w:t xml:space="preserve">[2026]第     </w:t>
      </w:r>
      <w:r>
        <w:rPr>
          <w:rFonts w:hint="eastAsia" w:ascii="仿宋_GB2312" w:hAnsi="仿宋_GB2312" w:eastAsia="仿宋_GB2312" w:cs="方正公文小标宋"/>
          <w:color w:val="000000" w:themeColor="text1"/>
          <w:sz w:val="32"/>
          <w:szCs w:val="32"/>
          <w14:textFill>
            <w14:solidFill>
              <w14:schemeClr w14:val="tx1"/>
            </w14:solidFill>
          </w14:textFill>
        </w:rPr>
        <w:t>号</w:t>
      </w:r>
    </w:p>
    <w:p w14:paraId="7400B78D">
      <w:pPr>
        <w:jc w:val="center"/>
        <w:rPr>
          <w:rFonts w:ascii="仿宋_GB2312" w:hAnsi="仿宋_GB2312" w:eastAsia="仿宋_GB2312" w:cs="方正公文小标宋"/>
          <w:color w:val="000000" w:themeColor="text1"/>
          <w:sz w:val="32"/>
          <w:szCs w:val="32"/>
          <w14:textFill>
            <w14:solidFill>
              <w14:schemeClr w14:val="tx1"/>
            </w14:solidFill>
          </w14:textFill>
        </w:rPr>
      </w:pPr>
    </w:p>
    <w:p w14:paraId="68403FD5">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甲方：福建广电网络融媒体科技有限责任公司</w:t>
      </w:r>
    </w:p>
    <w:p w14:paraId="3DEB8524">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地址：福州高新区海西高新技术产业园创新园一期</w:t>
      </w:r>
      <w:r>
        <w:rPr>
          <w:rFonts w:ascii="仿宋_GB2312" w:hAnsi="仿宋_GB2312" w:eastAsia="仿宋_GB2312" w:cs="仿宋_GB2312"/>
          <w:color w:val="000000" w:themeColor="text1"/>
          <w:sz w:val="32"/>
          <w:szCs w:val="32"/>
          <w14:textFill>
            <w14:solidFill>
              <w14:schemeClr w14:val="tx1"/>
            </w14:solidFill>
          </w14:textFill>
        </w:rPr>
        <w:t>3号楼5层</w:t>
      </w:r>
    </w:p>
    <w:p w14:paraId="14D6C89E">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w:t>
      </w:r>
    </w:p>
    <w:p w14:paraId="7E627FCD">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地址：</w:t>
      </w:r>
    </w:p>
    <w:p w14:paraId="0A9D1353">
      <w:pPr>
        <w:rPr>
          <w:rFonts w:ascii="仿宋_GB2312" w:hAnsi="仿宋_GB2312" w:eastAsia="仿宋_GB2312" w:cs="仿宋_GB2312"/>
          <w:color w:val="000000" w:themeColor="text1"/>
          <w:sz w:val="32"/>
          <w:szCs w:val="32"/>
          <w14:textFill>
            <w14:solidFill>
              <w14:schemeClr w14:val="tx1"/>
            </w14:solidFill>
          </w14:textFill>
        </w:rPr>
      </w:pPr>
    </w:p>
    <w:p w14:paraId="4B1E5D73">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经甲乙双方友好协商，就福建广电网络融媒体科技有限责任公司2</w:t>
      </w:r>
      <w:r>
        <w:rPr>
          <w:rFonts w:ascii="仿宋_GB2312" w:hAnsi="仿宋_GB2312" w:eastAsia="仿宋_GB2312" w:cs="仿宋_GB2312"/>
          <w:color w:val="000000" w:themeColor="text1"/>
          <w:kern w:val="0"/>
          <w:sz w:val="32"/>
          <w:szCs w:val="32"/>
          <w14:textFill>
            <w14:solidFill>
              <w14:schemeClr w14:val="tx1"/>
            </w14:solidFill>
          </w14:textFill>
        </w:rPr>
        <w:t>026</w:t>
      </w:r>
      <w:r>
        <w:rPr>
          <w:rFonts w:hint="eastAsia" w:ascii="仿宋_GB2312" w:hAnsi="仿宋_GB2312" w:eastAsia="仿宋_GB2312" w:cs="仿宋_GB2312"/>
          <w:color w:val="000000" w:themeColor="text1"/>
          <w:kern w:val="0"/>
          <w:sz w:val="32"/>
          <w:szCs w:val="32"/>
          <w14:textFill>
            <w14:solidFill>
              <w14:schemeClr w14:val="tx1"/>
            </w14:solidFill>
          </w14:textFill>
        </w:rPr>
        <w:t>年“智慧融媒体宣传”技术服务（以下简称“智融服务”）达成合同如下：</w:t>
      </w:r>
    </w:p>
    <w:p w14:paraId="3858EE89">
      <w:pPr>
        <w:ind w:firstLine="560" w:firstLineChars="200"/>
        <w:rPr>
          <w:rFonts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一、合作内容</w:t>
      </w:r>
    </w:p>
    <w:p w14:paraId="501B19CF">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为适应市场变化，提升产品竞争力，甲乙双方合作拓展业务，经协商一致：</w:t>
      </w:r>
    </w:p>
    <w:p w14:paraId="0EF41FF7">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1.1甲方负责市场运营、商务合同签订等营销推广工作。</w:t>
      </w:r>
    </w:p>
    <w:p w14:paraId="5585F5A0">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1.2甲方发展的客户智融技术服务业务涉及发布的内容及方式，甲方具有唯一审核权、发布权。由甲方制定内容三审制及后期运维规范，包括制作、审核、发布等流程，乙方须严格按甲方流程进行规范操作。</w:t>
      </w:r>
    </w:p>
    <w:p w14:paraId="12F363B6">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1.3乙方负责提供智融技术服务业务发展所需的软件开发、技术支撑和信息服务支撑，包括智融技术及配套的安装部署调试服务、网络数据服务、技术平台支持、设计支持、软件升级等工作。</w:t>
      </w:r>
    </w:p>
    <w:p w14:paraId="75F92F11">
      <w:pPr>
        <w:spacing w:line="360" w:lineRule="auto"/>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甲乙双方同意，202</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年双方结算比例为：X</w:t>
      </w:r>
      <w:r>
        <w:rPr>
          <w:rFonts w:ascii="仿宋_GB2312" w:hAnsi="仿宋_GB2312" w:eastAsia="仿宋_GB2312" w:cs="仿宋_GB2312"/>
          <w:color w:val="000000" w:themeColor="text1"/>
          <w:sz w:val="32"/>
          <w:szCs w:val="32"/>
          <w14:textFill>
            <w14:solidFill>
              <w14:schemeClr w14:val="tx1"/>
            </w14:solidFill>
          </w14:textFill>
        </w:rPr>
        <w:t>XX</w:t>
      </w:r>
      <w:r>
        <w:rPr>
          <w:rFonts w:hint="eastAsia" w:ascii="仿宋_GB2312" w:hAnsi="仿宋_GB2312" w:eastAsia="仿宋_GB2312" w:cs="仿宋_GB2312"/>
          <w:color w:val="000000" w:themeColor="text1"/>
          <w:sz w:val="32"/>
          <w:szCs w:val="32"/>
          <w14:textFill>
            <w14:solidFill>
              <w14:schemeClr w14:val="tx1"/>
            </w14:solidFill>
          </w14:textFill>
        </w:rPr>
        <w:t>。</w:t>
      </w:r>
    </w:p>
    <w:p w14:paraId="32BB3A11">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甲乙双方同意，2</w:t>
      </w:r>
      <w:r>
        <w:rPr>
          <w:rFonts w:ascii="仿宋_GB2312" w:hAnsi="仿宋_GB2312" w:eastAsia="仿宋_GB2312" w:cs="仿宋_GB2312"/>
          <w:color w:val="000000" w:themeColor="text1"/>
          <w:sz w:val="32"/>
          <w:szCs w:val="32"/>
          <w14:textFill>
            <w14:solidFill>
              <w14:schemeClr w14:val="tx1"/>
            </w14:solidFill>
          </w14:textFill>
        </w:rPr>
        <w:t>026</w:t>
      </w:r>
      <w:r>
        <w:rPr>
          <w:rFonts w:hint="eastAsia" w:ascii="仿宋_GB2312" w:hAnsi="仿宋_GB2312" w:eastAsia="仿宋_GB2312" w:cs="仿宋_GB2312"/>
          <w:color w:val="000000" w:themeColor="text1"/>
          <w:sz w:val="32"/>
          <w:szCs w:val="32"/>
          <w14:textFill>
            <w14:solidFill>
              <w14:schemeClr w14:val="tx1"/>
            </w14:solidFill>
          </w14:textFill>
        </w:rPr>
        <w:t>年订单乙方开具信息系统服务*技术服务费发票，税率6</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；如甲方购买</w:t>
      </w:r>
      <w:r>
        <w:rPr>
          <w:rFonts w:ascii="仿宋_GB2312" w:hAnsi="仿宋_GB2312" w:eastAsia="仿宋_GB2312" w:cs="仿宋_GB2312"/>
          <w:color w:val="000000" w:themeColor="text1"/>
          <w:sz w:val="32"/>
          <w:szCs w:val="32"/>
          <w14:textFill>
            <w14:solidFill>
              <w14:schemeClr w14:val="tx1"/>
            </w14:solidFill>
          </w14:textFill>
        </w:rPr>
        <w:t>智融终端所有权</w:t>
      </w:r>
      <w:r>
        <w:rPr>
          <w:rFonts w:hint="eastAsia" w:ascii="仿宋_GB2312" w:hAnsi="仿宋_GB2312" w:eastAsia="仿宋_GB2312" w:cs="仿宋_GB2312"/>
          <w:color w:val="000000" w:themeColor="text1"/>
          <w:sz w:val="32"/>
          <w:szCs w:val="32"/>
          <w14:textFill>
            <w14:solidFill>
              <w14:schemeClr w14:val="tx1"/>
            </w14:solidFill>
          </w14:textFill>
        </w:rPr>
        <w:t>，则需开具“服务费+硬件”发票，服务费税率：6</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，硬件销售税率1</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p>
    <w:p w14:paraId="54F22639">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甲乙双方同意，2</w:t>
      </w:r>
      <w:r>
        <w:rPr>
          <w:rFonts w:ascii="仿宋_GB2312" w:hAnsi="仿宋_GB2312" w:eastAsia="仿宋_GB2312" w:cs="仿宋_GB2312"/>
          <w:color w:val="000000" w:themeColor="text1"/>
          <w:sz w:val="32"/>
          <w:szCs w:val="32"/>
          <w14:textFill>
            <w14:solidFill>
              <w14:schemeClr w14:val="tx1"/>
            </w14:solidFill>
          </w14:textFill>
        </w:rPr>
        <w:t>026</w:t>
      </w:r>
      <w:r>
        <w:rPr>
          <w:rFonts w:hint="eastAsia" w:ascii="仿宋_GB2312" w:hAnsi="仿宋_GB2312" w:eastAsia="仿宋_GB2312" w:cs="仿宋_GB2312"/>
          <w:color w:val="000000" w:themeColor="text1"/>
          <w:sz w:val="32"/>
          <w:szCs w:val="32"/>
          <w14:textFill>
            <w14:solidFill>
              <w14:schemeClr w14:val="tx1"/>
            </w14:solidFill>
          </w14:textFill>
        </w:rPr>
        <w:t>年智融技术服务按照月度考核，根据考核结果确定甲方付给乙方的最终金额。</w:t>
      </w:r>
    </w:p>
    <w:p w14:paraId="3F11F7A6">
      <w:pPr>
        <w:spacing w:line="360" w:lineRule="auto"/>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本合同期限内若某个项目结算方式发生变化，甲乙双方需另行签订协议确认。</w:t>
      </w:r>
    </w:p>
    <w:p w14:paraId="1C3B51AB">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.8 2026</w:t>
      </w:r>
      <w:r>
        <w:rPr>
          <w:rFonts w:hint="eastAsia" w:ascii="仿宋_GB2312" w:hAnsi="仿宋_GB2312" w:eastAsia="仿宋_GB2312" w:cs="仿宋_GB2312"/>
          <w:color w:val="000000" w:themeColor="text1"/>
          <w:sz w:val="32"/>
          <w:szCs w:val="32"/>
          <w14:textFill>
            <w14:solidFill>
              <w14:schemeClr w14:val="tx1"/>
            </w14:solidFill>
          </w14:textFill>
        </w:rPr>
        <w:t>年乙方提供的智融服务内容为：</w:t>
      </w:r>
    </w:p>
    <w:p w14:paraId="28D95FD1">
      <w:pPr>
        <w:spacing w:line="360"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w:t>
      </w:r>
      <w:r>
        <w:rPr>
          <w:rFonts w:ascii="仿宋_GB2312" w:hAnsi="仿宋_GB2312" w:eastAsia="仿宋_GB2312" w:cs="仿宋_GB2312"/>
          <w:color w:val="000000" w:themeColor="text1"/>
          <w:sz w:val="32"/>
          <w:szCs w:val="32"/>
          <w14:textFill>
            <w14:solidFill>
              <w14:schemeClr w14:val="tx1"/>
            </w14:solidFill>
          </w14:textFill>
        </w:rPr>
        <w:t>XX</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1805CA54">
      <w:pPr>
        <w:snapToGrid w:val="0"/>
        <w:spacing w:line="360" w:lineRule="auto"/>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甲乙双方同意，除基础套餐个性化海报定制服务外，乙方为甲方客户提供增量个性化海报设计服务，</w:t>
      </w:r>
      <w:r>
        <w:rPr>
          <w:rFonts w:ascii="仿宋_GB2312" w:hAnsi="仿宋_GB2312" w:eastAsia="仿宋_GB2312"/>
          <w:color w:val="000000" w:themeColor="text1"/>
          <w:sz w:val="32"/>
          <w:szCs w:val="32"/>
          <w14:textFill>
            <w14:solidFill>
              <w14:schemeClr w14:val="tx1"/>
            </w14:solidFill>
          </w14:textFill>
        </w:rPr>
        <w:t>2026</w:t>
      </w:r>
      <w:r>
        <w:rPr>
          <w:rFonts w:hint="eastAsia" w:ascii="仿宋_GB2312" w:hAnsi="仿宋_GB2312" w:eastAsia="仿宋_GB2312"/>
          <w:color w:val="000000" w:themeColor="text1"/>
          <w:sz w:val="32"/>
          <w:szCs w:val="32"/>
          <w14:textFill>
            <w14:solidFill>
              <w14:schemeClr w14:val="tx1"/>
            </w14:solidFill>
          </w14:textFill>
        </w:rPr>
        <w:t>年增量个性化海报结算价：X</w:t>
      </w:r>
      <w:r>
        <w:rPr>
          <w:rFonts w:ascii="仿宋_GB2312" w:hAnsi="仿宋_GB2312" w:eastAsia="仿宋_GB2312"/>
          <w:color w:val="000000" w:themeColor="text1"/>
          <w:sz w:val="32"/>
          <w:szCs w:val="32"/>
          <w14:textFill>
            <w14:solidFill>
              <w14:schemeClr w14:val="tx1"/>
            </w14:solidFill>
          </w14:textFill>
        </w:rPr>
        <w:t>XX</w:t>
      </w:r>
    </w:p>
    <w:p w14:paraId="69D99296">
      <w:pPr>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甲乙双方同意，对于双方一致认可、需免费提供智融技术服务的重点用户，双方确认需免费提供技术服务的重点用户，双方按各硬件供货价50%:50%比例进行成本分摊，其余成本不做结算。</w:t>
      </w:r>
    </w:p>
    <w:p w14:paraId="188E0F58">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在订单的服务期限（以下简称“服务期”）内，非人为因素引起的智融技术服务故障</w:t>
      </w:r>
      <w:r>
        <w:rPr>
          <w:rFonts w:hint="eastAsia" w:ascii="仿宋_GB2312" w:hAnsi="仿宋_GB2312" w:eastAsia="仿宋_GB2312" w:cs="仿宋_GB2312"/>
          <w:color w:val="000000" w:themeColor="text1"/>
          <w:sz w:val="32"/>
          <w:szCs w:val="32"/>
          <w14:textFill>
            <w14:solidFill>
              <w14:schemeClr w14:val="tx1"/>
            </w14:solidFill>
          </w14:textFill>
        </w:rPr>
        <w:t>，乙方负责免费提供智融技术服务所需的必要支撑条件，以满足智融服务正常运行需要。</w:t>
      </w:r>
      <w:bookmarkStart w:id="126" w:name="_GoBack"/>
      <w:r>
        <w:rPr>
          <w:rFonts w:hint="eastAsia" w:ascii="仿宋_GB2312" w:hAnsi="仿宋_GB2312" w:eastAsia="仿宋_GB2312" w:cs="仿宋_GB2312"/>
          <w:color w:val="000000" w:themeColor="text1"/>
          <w:sz w:val="32"/>
          <w:szCs w:val="32"/>
          <w14:textFill>
            <w14:solidFill>
              <w14:schemeClr w14:val="tx1"/>
            </w14:solidFill>
          </w14:textFill>
        </w:rPr>
        <w:t>如因甲方客户人为因素造成的智融服务技术故障</w:t>
      </w:r>
      <w:r>
        <w:rPr>
          <w:rFonts w:hint="eastAsia" w:ascii="仿宋_GB2312" w:hAnsi="仿宋_GB2312" w:eastAsia="仿宋_GB2312" w:cs="仿宋_GB2312"/>
          <w:color w:val="000000" w:themeColor="text1"/>
          <w:sz w:val="32"/>
          <w:szCs w:val="32"/>
          <w14:textFill>
            <w14:solidFill>
              <w14:schemeClr w14:val="tx1"/>
            </w14:solidFill>
          </w14:textFill>
        </w:rPr>
        <w:t>，</w:t>
      </w:r>
      <w:bookmarkEnd w:id="126"/>
      <w:r>
        <w:rPr>
          <w:rFonts w:hint="eastAsia" w:ascii="仿宋_GB2312" w:hAnsi="仿宋_GB2312" w:eastAsia="仿宋_GB2312" w:cs="仿宋_GB2312"/>
          <w:color w:val="000000" w:themeColor="text1"/>
          <w:sz w:val="32"/>
          <w:szCs w:val="32"/>
          <w14:textFill>
            <w14:solidFill>
              <w14:schemeClr w14:val="tx1"/>
            </w14:solidFill>
          </w14:textFill>
        </w:rPr>
        <w:t>甲方根据与甲方客户合同积极向甲方客户主张权利，在甲方积极主张权利未果的情况下，甲方不因此承担赔偿责任。</w:t>
      </w:r>
    </w:p>
    <w:p w14:paraId="65433BC3">
      <w:pPr>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二、结算方式</w:t>
      </w:r>
    </w:p>
    <w:p w14:paraId="6A65AD62">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甲方收到客户服务费用的前提下，与乙方每月结算上月的服务成本。如甲方收到客户一年或高于一年的服务费，均按12个月的服务成本与乙方结算，其余服务成本12个月后也按此规则进行结算，如甲方收到客户低于一年的服务费则按甲方客户付款进度与乙方结算。</w:t>
      </w:r>
    </w:p>
    <w:p w14:paraId="3F376FBC">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甲方保证根据合同的约定结算费用给乙方，但甲方不提前预支费用给乙方。</w:t>
      </w:r>
    </w:p>
    <w:p w14:paraId="00AB16A7">
      <w:pPr>
        <w:spacing w:line="360" w:lineRule="auto"/>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鉴于双方合作收入的分成建立在客户付款的基础上，乙方全面、清晰地理解和认识该项目分成依赖于客户的付款并自愿承担相应的资金结算风险：若甲方未收到客户的付款，乙方不向甲方收取或主张任何款项。如因本项目的客户不履行、不完全履行或迟延履行其与甲方所签订的合同义务导致甲方不履行、不完全履行或迟延履行本协议约定义务的，乙方在此表示理解并承诺：前述情况，不视为甲方违约，乙方不追究甲方违约责任，双方共同努力促使客户履行其与甲方所签订的合同义务或追究其相应责任。</w:t>
      </w:r>
    </w:p>
    <w:p w14:paraId="43E973FD">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结算流程</w:t>
      </w:r>
    </w:p>
    <w:p w14:paraId="1F693E6E">
      <w:pPr>
        <w:spacing w:line="360" w:lineRule="auto"/>
        <w:ind w:firstLine="640" w:firstLineChars="200"/>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.1本合同期限内，双方约定每月前3个工作日，乙方应当将上个自然月的技术服务需求单（附件</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）、项目服务确认单（附件</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）、运营支撑方月度考核表（附件</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）后，通过电子邮箱方式发送上述3个附件的扫描件给甲方联系人。甲方联系人为X</w:t>
      </w:r>
      <w:r>
        <w:rPr>
          <w:rFonts w:ascii="仿宋_GB2312" w:hAnsi="仿宋_GB2312" w:eastAsia="仿宋_GB2312" w:cs="仿宋_GB2312"/>
          <w:color w:val="000000" w:themeColor="text1"/>
          <w:sz w:val="32"/>
          <w:szCs w:val="32"/>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（邮箱</w:t>
      </w:r>
      <w:r>
        <w:rPr>
          <w:rFonts w:ascii="仿宋_GB2312" w:hAnsi="仿宋_GB2312" w:eastAsia="仿宋_GB2312" w:cs="仿宋_GB2312"/>
          <w:color w:val="000000" w:themeColor="text1"/>
          <w:sz w:val="32"/>
          <w:szCs w:val="32"/>
          <w14:textFill>
            <w14:solidFill>
              <w14:schemeClr w14:val="tx1"/>
            </w14:solidFill>
          </w14:textFill>
        </w:rPr>
        <w:t>XXX</w:t>
      </w:r>
      <w:r>
        <w:rPr>
          <w:rFonts w:hint="eastAsia" w:ascii="仿宋_GB2312" w:hAnsi="仿宋_GB2312" w:eastAsia="仿宋_GB2312" w:cs="仿宋_GB2312"/>
          <w:color w:val="000000" w:themeColor="text1"/>
          <w:sz w:val="32"/>
          <w:szCs w:val="32"/>
          <w14:textFill>
            <w14:solidFill>
              <w14:schemeClr w14:val="tx1"/>
            </w14:solidFill>
          </w14:textFill>
        </w:rPr>
        <w:t>），乙方联系人为X</w:t>
      </w:r>
      <w:r>
        <w:rPr>
          <w:rFonts w:ascii="仿宋_GB2312" w:hAnsi="仿宋_GB2312" w:eastAsia="仿宋_GB2312" w:cs="仿宋_GB2312"/>
          <w:color w:val="000000" w:themeColor="text1"/>
          <w:sz w:val="32"/>
          <w:szCs w:val="32"/>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（邮件</w:t>
      </w:r>
      <w:r>
        <w:rPr>
          <w:rFonts w:ascii="仿宋_GB2312" w:hAnsi="仿宋_GB2312" w:eastAsia="仿宋_GB2312" w:cs="仿宋_GB2312"/>
          <w:color w:val="000000" w:themeColor="text1"/>
          <w:sz w:val="32"/>
          <w:szCs w:val="32"/>
          <w14:textFill>
            <w14:solidFill>
              <w14:schemeClr w14:val="tx1"/>
            </w14:solidFill>
          </w14:textFill>
        </w:rPr>
        <w:t>xxx</w:t>
      </w:r>
      <w:r>
        <w:rPr>
          <w:rFonts w:hint="eastAsia" w:ascii="仿宋_GB2312" w:hAnsi="仿宋_GB2312" w:eastAsia="仿宋_GB2312" w:cs="仿宋_GB2312"/>
          <w:color w:val="000000" w:themeColor="text1"/>
          <w:sz w:val="32"/>
          <w:szCs w:val="32"/>
          <w14:textFill>
            <w14:solidFill>
              <w14:schemeClr w14:val="tx1"/>
            </w14:solidFill>
          </w14:textFill>
        </w:rPr>
        <w:t>）。</w:t>
      </w:r>
    </w:p>
    <w:p w14:paraId="313A5F6B">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.2 甲方须在收到邮件后的5个工作日内完成核对，如核对无异议，甲方通知乙方开具相应金额的增值税专用发票（服务类开具信息系统服务*技术服务费，税率6</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；如甲方需要产权，则需开具“服务费+硬件”发票，服务费税率：6</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，硬件销售税率1</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）；如有异议，甲方需在5个工作日内通知乙方。</w:t>
      </w:r>
    </w:p>
    <w:p w14:paraId="58DF3EF9">
      <w:pPr>
        <w:spacing w:line="360" w:lineRule="auto"/>
        <w:ind w:firstLine="56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.3甲方须在收到发票之日起15个工作日内，以转账方式一次性支付双方确认的结算费用。如乙方迟延提供或提供错误发票的，甲方有权顺延支付时间且不视为违约。</w:t>
      </w:r>
    </w:p>
    <w:p w14:paraId="32039BD9">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甲乙双方的账户名称、开户银行、银行账号以本协议提供的为准，如有变更，变更一方应在协议规定的付款期限届满前25个工作日，以书面方式通知对方并加盖已备案的财务专用章。</w:t>
      </w:r>
    </w:p>
    <w:tbl>
      <w:tblPr>
        <w:tblStyle w:val="17"/>
        <w:tblW w:w="8828" w:type="dxa"/>
        <w:jc w:val="center"/>
        <w:tblLayout w:type="fixed"/>
        <w:tblCellMar>
          <w:top w:w="0" w:type="dxa"/>
          <w:left w:w="108" w:type="dxa"/>
          <w:bottom w:w="0" w:type="dxa"/>
          <w:right w:w="108" w:type="dxa"/>
        </w:tblCellMar>
      </w:tblPr>
      <w:tblGrid>
        <w:gridCol w:w="1523"/>
        <w:gridCol w:w="3274"/>
        <w:gridCol w:w="4031"/>
      </w:tblGrid>
      <w:tr w14:paraId="154DD9D0">
        <w:tblPrEx>
          <w:tblCellMar>
            <w:top w:w="0" w:type="dxa"/>
            <w:left w:w="108" w:type="dxa"/>
            <w:bottom w:w="0" w:type="dxa"/>
            <w:right w:w="108" w:type="dxa"/>
          </w:tblCellMar>
        </w:tblPrEx>
        <w:trPr>
          <w:trHeight w:val="260"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197B8634">
            <w:pPr>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w:t>
            </w:r>
          </w:p>
        </w:tc>
        <w:tc>
          <w:tcPr>
            <w:tcW w:w="3274" w:type="dxa"/>
            <w:tcBorders>
              <w:top w:val="single" w:color="auto" w:sz="4" w:space="0"/>
              <w:left w:val="nil"/>
              <w:bottom w:val="single" w:color="auto" w:sz="4" w:space="0"/>
              <w:right w:val="single" w:color="auto" w:sz="4" w:space="0"/>
            </w:tcBorders>
            <w:shd w:val="clear" w:color="auto" w:fill="auto"/>
            <w:vAlign w:val="center"/>
          </w:tcPr>
          <w:p w14:paraId="720ADABC">
            <w:pPr>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甲方</w:t>
            </w:r>
          </w:p>
        </w:tc>
        <w:tc>
          <w:tcPr>
            <w:tcW w:w="4031" w:type="dxa"/>
            <w:tcBorders>
              <w:top w:val="single" w:color="auto" w:sz="4" w:space="0"/>
              <w:left w:val="nil"/>
              <w:bottom w:val="single" w:color="auto" w:sz="4" w:space="0"/>
              <w:right w:val="single" w:color="auto" w:sz="4" w:space="0"/>
            </w:tcBorders>
            <w:shd w:val="clear" w:color="auto" w:fill="auto"/>
            <w:vAlign w:val="center"/>
          </w:tcPr>
          <w:p w14:paraId="4669A2AB">
            <w:pPr>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乙方</w:t>
            </w:r>
          </w:p>
        </w:tc>
      </w:tr>
      <w:tr w14:paraId="2D095261">
        <w:tblPrEx>
          <w:tblCellMar>
            <w:top w:w="0" w:type="dxa"/>
            <w:left w:w="108" w:type="dxa"/>
            <w:bottom w:w="0" w:type="dxa"/>
            <w:right w:w="108" w:type="dxa"/>
          </w:tblCellMar>
        </w:tblPrEx>
        <w:trPr>
          <w:trHeight w:val="402" w:hRule="atLeast"/>
          <w:jc w:val="center"/>
        </w:trPr>
        <w:tc>
          <w:tcPr>
            <w:tcW w:w="1523" w:type="dxa"/>
            <w:tcBorders>
              <w:top w:val="nil"/>
              <w:left w:val="single" w:color="auto" w:sz="4" w:space="0"/>
              <w:bottom w:val="single" w:color="auto" w:sz="4" w:space="0"/>
              <w:right w:val="single" w:color="auto" w:sz="4" w:space="0"/>
            </w:tcBorders>
            <w:shd w:val="clear" w:color="auto" w:fill="auto"/>
            <w:vAlign w:val="center"/>
          </w:tcPr>
          <w:p w14:paraId="03CC9017">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通讯地址</w:t>
            </w:r>
          </w:p>
        </w:tc>
        <w:tc>
          <w:tcPr>
            <w:tcW w:w="3274" w:type="dxa"/>
            <w:tcBorders>
              <w:top w:val="nil"/>
              <w:left w:val="nil"/>
              <w:bottom w:val="single" w:color="auto" w:sz="4" w:space="0"/>
              <w:right w:val="single" w:color="auto" w:sz="4" w:space="0"/>
            </w:tcBorders>
            <w:shd w:val="clear" w:color="auto" w:fill="auto"/>
            <w:vAlign w:val="center"/>
          </w:tcPr>
          <w:p w14:paraId="4CA9621C">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nil"/>
              <w:left w:val="nil"/>
              <w:bottom w:val="single" w:color="auto" w:sz="4" w:space="0"/>
              <w:right w:val="single" w:color="auto" w:sz="4" w:space="0"/>
            </w:tcBorders>
            <w:shd w:val="clear" w:color="auto" w:fill="auto"/>
            <w:vAlign w:val="center"/>
          </w:tcPr>
          <w:p w14:paraId="503ECAE7">
            <w:pPr>
              <w:widowControl/>
              <w:adjustRightInd w:val="0"/>
              <w:snapToGrid w:val="0"/>
              <w:ind w:left="1260" w:hanging="1260" w:hangingChars="600"/>
              <w:jc w:val="left"/>
              <w:rPr>
                <w:rFonts w:ascii="仿宋_GB2312" w:hAnsi="仿宋_GB2312" w:eastAsia="仿宋_GB2312" w:cs="仿宋_GB2312"/>
                <w:color w:val="000000" w:themeColor="text1"/>
                <w:szCs w:val="21"/>
                <w14:textFill>
                  <w14:solidFill>
                    <w14:schemeClr w14:val="tx1"/>
                  </w14:solidFill>
                </w14:textFill>
              </w:rPr>
            </w:pPr>
          </w:p>
        </w:tc>
      </w:tr>
      <w:tr w14:paraId="62BA4BA9">
        <w:tblPrEx>
          <w:tblCellMar>
            <w:top w:w="0" w:type="dxa"/>
            <w:left w:w="108" w:type="dxa"/>
            <w:bottom w:w="0" w:type="dxa"/>
            <w:right w:w="108" w:type="dxa"/>
          </w:tblCellMar>
        </w:tblPrEx>
        <w:trPr>
          <w:trHeight w:val="402" w:hRule="atLeast"/>
          <w:jc w:val="center"/>
        </w:trPr>
        <w:tc>
          <w:tcPr>
            <w:tcW w:w="1523" w:type="dxa"/>
            <w:tcBorders>
              <w:top w:val="nil"/>
              <w:left w:val="single" w:color="auto" w:sz="4" w:space="0"/>
              <w:bottom w:val="single" w:color="auto" w:sz="4" w:space="0"/>
              <w:right w:val="single" w:color="auto" w:sz="4" w:space="0"/>
            </w:tcBorders>
            <w:vAlign w:val="center"/>
          </w:tcPr>
          <w:p w14:paraId="508BA1B2">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法定代表人</w:t>
            </w:r>
          </w:p>
        </w:tc>
        <w:tc>
          <w:tcPr>
            <w:tcW w:w="3274" w:type="dxa"/>
            <w:tcBorders>
              <w:top w:val="nil"/>
              <w:left w:val="nil"/>
              <w:bottom w:val="single" w:color="auto" w:sz="4" w:space="0"/>
              <w:right w:val="single" w:color="auto" w:sz="4" w:space="0"/>
            </w:tcBorders>
            <w:vAlign w:val="center"/>
          </w:tcPr>
          <w:p w14:paraId="76E2BCC7">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nil"/>
              <w:left w:val="nil"/>
              <w:bottom w:val="single" w:color="auto" w:sz="4" w:space="0"/>
              <w:right w:val="single" w:color="auto" w:sz="4" w:space="0"/>
            </w:tcBorders>
            <w:vAlign w:val="center"/>
          </w:tcPr>
          <w:p w14:paraId="1CE5BAA4">
            <w:pPr>
              <w:widowControl/>
              <w:jc w:val="center"/>
              <w:rPr>
                <w:rFonts w:ascii="仿宋_GB2312" w:hAnsi="仿宋_GB2312" w:eastAsia="仿宋_GB2312" w:cs="仿宋_GB2312"/>
                <w:color w:val="000000" w:themeColor="text1"/>
                <w:szCs w:val="21"/>
                <w14:textFill>
                  <w14:solidFill>
                    <w14:schemeClr w14:val="tx1"/>
                  </w14:solidFill>
                </w14:textFill>
              </w:rPr>
            </w:pPr>
          </w:p>
        </w:tc>
      </w:tr>
      <w:tr w14:paraId="6FEBA2F1">
        <w:tblPrEx>
          <w:tblCellMar>
            <w:top w:w="0" w:type="dxa"/>
            <w:left w:w="108" w:type="dxa"/>
            <w:bottom w:w="0" w:type="dxa"/>
            <w:right w:w="108" w:type="dxa"/>
          </w:tblCellMar>
        </w:tblPrEx>
        <w:trPr>
          <w:trHeight w:val="402"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14:paraId="395C49B2">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邮编</w:t>
            </w:r>
          </w:p>
        </w:tc>
        <w:tc>
          <w:tcPr>
            <w:tcW w:w="3274" w:type="dxa"/>
            <w:tcBorders>
              <w:top w:val="single" w:color="auto" w:sz="4" w:space="0"/>
              <w:left w:val="single" w:color="auto" w:sz="4" w:space="0"/>
              <w:bottom w:val="single" w:color="auto" w:sz="4" w:space="0"/>
              <w:right w:val="single" w:color="auto" w:sz="4" w:space="0"/>
            </w:tcBorders>
            <w:vAlign w:val="center"/>
          </w:tcPr>
          <w:p w14:paraId="566CBAE5">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single" w:color="auto" w:sz="4" w:space="0"/>
              <w:left w:val="single" w:color="auto" w:sz="4" w:space="0"/>
              <w:bottom w:val="single" w:color="auto" w:sz="4" w:space="0"/>
              <w:right w:val="single" w:color="auto" w:sz="4" w:space="0"/>
            </w:tcBorders>
            <w:vAlign w:val="center"/>
          </w:tcPr>
          <w:p w14:paraId="5E0FDAC8">
            <w:pPr>
              <w:widowControl/>
              <w:jc w:val="center"/>
              <w:rPr>
                <w:rFonts w:ascii="仿宋_GB2312" w:hAnsi="仿宋_GB2312" w:eastAsia="仿宋_GB2312" w:cs="仿宋_GB2312"/>
                <w:color w:val="000000" w:themeColor="text1"/>
                <w:szCs w:val="21"/>
                <w14:textFill>
                  <w14:solidFill>
                    <w14:schemeClr w14:val="tx1"/>
                  </w14:solidFill>
                </w14:textFill>
              </w:rPr>
            </w:pPr>
          </w:p>
        </w:tc>
      </w:tr>
      <w:tr w14:paraId="513802C8">
        <w:tblPrEx>
          <w:tblCellMar>
            <w:top w:w="0" w:type="dxa"/>
            <w:left w:w="108" w:type="dxa"/>
            <w:bottom w:w="0" w:type="dxa"/>
            <w:right w:w="108" w:type="dxa"/>
          </w:tblCellMar>
        </w:tblPrEx>
        <w:trPr>
          <w:trHeight w:val="402"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14:paraId="17E93187">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联系人</w:t>
            </w:r>
          </w:p>
        </w:tc>
        <w:tc>
          <w:tcPr>
            <w:tcW w:w="3274" w:type="dxa"/>
            <w:tcBorders>
              <w:top w:val="single" w:color="auto" w:sz="4" w:space="0"/>
              <w:left w:val="single" w:color="auto" w:sz="4" w:space="0"/>
              <w:bottom w:val="single" w:color="auto" w:sz="4" w:space="0"/>
              <w:right w:val="single" w:color="auto" w:sz="4" w:space="0"/>
            </w:tcBorders>
            <w:vAlign w:val="center"/>
          </w:tcPr>
          <w:p w14:paraId="00AF36F7">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single" w:color="auto" w:sz="4" w:space="0"/>
              <w:left w:val="single" w:color="auto" w:sz="4" w:space="0"/>
              <w:bottom w:val="single" w:color="auto" w:sz="4" w:space="0"/>
              <w:right w:val="single" w:color="auto" w:sz="4" w:space="0"/>
            </w:tcBorders>
            <w:vAlign w:val="center"/>
          </w:tcPr>
          <w:p w14:paraId="38955B0F">
            <w:pPr>
              <w:widowControl/>
              <w:jc w:val="center"/>
              <w:rPr>
                <w:rFonts w:ascii="仿宋_GB2312" w:hAnsi="仿宋_GB2312" w:eastAsia="仿宋_GB2312" w:cs="仿宋_GB2312"/>
                <w:color w:val="000000" w:themeColor="text1"/>
                <w:szCs w:val="21"/>
                <w14:textFill>
                  <w14:solidFill>
                    <w14:schemeClr w14:val="tx1"/>
                  </w14:solidFill>
                </w14:textFill>
              </w:rPr>
            </w:pPr>
          </w:p>
        </w:tc>
      </w:tr>
      <w:tr w14:paraId="7CE196B9">
        <w:tblPrEx>
          <w:tblCellMar>
            <w:top w:w="0" w:type="dxa"/>
            <w:left w:w="108" w:type="dxa"/>
            <w:bottom w:w="0" w:type="dxa"/>
            <w:right w:w="108" w:type="dxa"/>
          </w:tblCellMar>
        </w:tblPrEx>
        <w:trPr>
          <w:trHeight w:val="402"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14:paraId="3E817BD6">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联系电话</w:t>
            </w:r>
          </w:p>
        </w:tc>
        <w:tc>
          <w:tcPr>
            <w:tcW w:w="3274" w:type="dxa"/>
            <w:tcBorders>
              <w:top w:val="single" w:color="auto" w:sz="4" w:space="0"/>
              <w:left w:val="single" w:color="auto" w:sz="4" w:space="0"/>
              <w:bottom w:val="single" w:color="auto" w:sz="4" w:space="0"/>
              <w:right w:val="single" w:color="auto" w:sz="4" w:space="0"/>
            </w:tcBorders>
            <w:vAlign w:val="center"/>
          </w:tcPr>
          <w:p w14:paraId="20E5A5BC">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single" w:color="auto" w:sz="4" w:space="0"/>
              <w:left w:val="single" w:color="auto" w:sz="4" w:space="0"/>
              <w:bottom w:val="single" w:color="auto" w:sz="4" w:space="0"/>
              <w:right w:val="single" w:color="auto" w:sz="4" w:space="0"/>
            </w:tcBorders>
            <w:vAlign w:val="center"/>
          </w:tcPr>
          <w:p w14:paraId="4DDCFA5C">
            <w:pPr>
              <w:widowControl/>
              <w:jc w:val="center"/>
              <w:rPr>
                <w:rFonts w:ascii="仿宋_GB2312" w:hAnsi="仿宋_GB2312" w:eastAsia="仿宋_GB2312" w:cs="仿宋_GB2312"/>
                <w:color w:val="000000" w:themeColor="text1"/>
                <w:szCs w:val="21"/>
                <w14:textFill>
                  <w14:solidFill>
                    <w14:schemeClr w14:val="tx1"/>
                  </w14:solidFill>
                </w14:textFill>
              </w:rPr>
            </w:pPr>
          </w:p>
        </w:tc>
      </w:tr>
      <w:tr w14:paraId="229C3807">
        <w:tblPrEx>
          <w:tblCellMar>
            <w:top w:w="0" w:type="dxa"/>
            <w:left w:w="108" w:type="dxa"/>
            <w:bottom w:w="0" w:type="dxa"/>
            <w:right w:w="108" w:type="dxa"/>
          </w:tblCellMar>
        </w:tblPrEx>
        <w:trPr>
          <w:trHeight w:val="402"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14:paraId="0A3F6ABB">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传真</w:t>
            </w:r>
          </w:p>
        </w:tc>
        <w:tc>
          <w:tcPr>
            <w:tcW w:w="3274" w:type="dxa"/>
            <w:tcBorders>
              <w:top w:val="single" w:color="auto" w:sz="4" w:space="0"/>
              <w:left w:val="single" w:color="auto" w:sz="4" w:space="0"/>
              <w:bottom w:val="single" w:color="auto" w:sz="4" w:space="0"/>
              <w:right w:val="single" w:color="auto" w:sz="4" w:space="0"/>
            </w:tcBorders>
            <w:vAlign w:val="center"/>
          </w:tcPr>
          <w:p w14:paraId="6A6C753D">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single" w:color="auto" w:sz="4" w:space="0"/>
              <w:left w:val="single" w:color="auto" w:sz="4" w:space="0"/>
              <w:bottom w:val="single" w:color="auto" w:sz="4" w:space="0"/>
              <w:right w:val="single" w:color="auto" w:sz="4" w:space="0"/>
            </w:tcBorders>
            <w:vAlign w:val="center"/>
          </w:tcPr>
          <w:p w14:paraId="29B217B7">
            <w:pPr>
              <w:widowControl/>
              <w:jc w:val="center"/>
              <w:rPr>
                <w:rFonts w:ascii="仿宋_GB2312" w:hAnsi="仿宋_GB2312" w:eastAsia="仿宋_GB2312" w:cs="仿宋_GB2312"/>
                <w:color w:val="000000" w:themeColor="text1"/>
                <w:szCs w:val="21"/>
                <w14:textFill>
                  <w14:solidFill>
                    <w14:schemeClr w14:val="tx1"/>
                  </w14:solidFill>
                </w14:textFill>
              </w:rPr>
            </w:pPr>
          </w:p>
        </w:tc>
      </w:tr>
      <w:tr w14:paraId="7C96FA8E">
        <w:trPr>
          <w:trHeight w:val="402"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14:paraId="481AD33B">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开户银行</w:t>
            </w:r>
          </w:p>
        </w:tc>
        <w:tc>
          <w:tcPr>
            <w:tcW w:w="3274" w:type="dxa"/>
            <w:tcBorders>
              <w:top w:val="single" w:color="auto" w:sz="4" w:space="0"/>
              <w:left w:val="single" w:color="auto" w:sz="4" w:space="0"/>
              <w:bottom w:val="single" w:color="auto" w:sz="4" w:space="0"/>
              <w:right w:val="single" w:color="auto" w:sz="4" w:space="0"/>
            </w:tcBorders>
            <w:vAlign w:val="center"/>
          </w:tcPr>
          <w:p w14:paraId="74686D50">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single" w:color="auto" w:sz="4" w:space="0"/>
              <w:left w:val="single" w:color="auto" w:sz="4" w:space="0"/>
              <w:bottom w:val="single" w:color="auto" w:sz="4" w:space="0"/>
              <w:right w:val="single" w:color="auto" w:sz="4" w:space="0"/>
            </w:tcBorders>
            <w:vAlign w:val="center"/>
          </w:tcPr>
          <w:p w14:paraId="4902EA30">
            <w:pPr>
              <w:widowControl/>
              <w:jc w:val="center"/>
              <w:rPr>
                <w:rFonts w:ascii="仿宋_GB2312" w:hAnsi="仿宋_GB2312" w:eastAsia="仿宋_GB2312" w:cs="仿宋_GB2312"/>
                <w:color w:val="000000" w:themeColor="text1"/>
                <w:szCs w:val="21"/>
                <w14:textFill>
                  <w14:solidFill>
                    <w14:schemeClr w14:val="tx1"/>
                  </w14:solidFill>
                </w14:textFill>
              </w:rPr>
            </w:pPr>
          </w:p>
        </w:tc>
      </w:tr>
      <w:tr w14:paraId="7220F039">
        <w:tblPrEx>
          <w:tblCellMar>
            <w:top w:w="0" w:type="dxa"/>
            <w:left w:w="108" w:type="dxa"/>
            <w:bottom w:w="0" w:type="dxa"/>
            <w:right w:w="108" w:type="dxa"/>
          </w:tblCellMar>
        </w:tblPrEx>
        <w:trPr>
          <w:trHeight w:val="402"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14:paraId="50D03A5E">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银行账号</w:t>
            </w:r>
          </w:p>
        </w:tc>
        <w:tc>
          <w:tcPr>
            <w:tcW w:w="3274" w:type="dxa"/>
            <w:tcBorders>
              <w:top w:val="single" w:color="auto" w:sz="4" w:space="0"/>
              <w:left w:val="single" w:color="auto" w:sz="4" w:space="0"/>
              <w:bottom w:val="single" w:color="auto" w:sz="4" w:space="0"/>
              <w:right w:val="single" w:color="auto" w:sz="4" w:space="0"/>
            </w:tcBorders>
            <w:vAlign w:val="center"/>
          </w:tcPr>
          <w:p w14:paraId="7CED8CED">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single" w:color="auto" w:sz="4" w:space="0"/>
              <w:left w:val="single" w:color="auto" w:sz="4" w:space="0"/>
              <w:bottom w:val="single" w:color="auto" w:sz="4" w:space="0"/>
              <w:right w:val="single" w:color="auto" w:sz="4" w:space="0"/>
            </w:tcBorders>
            <w:vAlign w:val="center"/>
          </w:tcPr>
          <w:p w14:paraId="6F5BD1BA">
            <w:pPr>
              <w:widowControl/>
              <w:jc w:val="center"/>
              <w:rPr>
                <w:rFonts w:ascii="仿宋_GB2312" w:hAnsi="仿宋_GB2312" w:eastAsia="仿宋_GB2312" w:cs="仿宋_GB2312"/>
                <w:color w:val="000000" w:themeColor="text1"/>
                <w:szCs w:val="21"/>
                <w14:textFill>
                  <w14:solidFill>
                    <w14:schemeClr w14:val="tx1"/>
                  </w14:solidFill>
                </w14:textFill>
              </w:rPr>
            </w:pPr>
          </w:p>
        </w:tc>
      </w:tr>
      <w:tr w14:paraId="23294E44">
        <w:tblPrEx>
          <w:tblCellMar>
            <w:top w:w="0" w:type="dxa"/>
            <w:left w:w="108" w:type="dxa"/>
            <w:bottom w:w="0" w:type="dxa"/>
            <w:right w:w="108" w:type="dxa"/>
          </w:tblCellMar>
        </w:tblPrEx>
        <w:trPr>
          <w:trHeight w:val="402"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14:paraId="49C90171">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纳税人识别号</w:t>
            </w:r>
          </w:p>
        </w:tc>
        <w:tc>
          <w:tcPr>
            <w:tcW w:w="3274" w:type="dxa"/>
            <w:tcBorders>
              <w:top w:val="single" w:color="auto" w:sz="4" w:space="0"/>
              <w:left w:val="single" w:color="auto" w:sz="4" w:space="0"/>
              <w:bottom w:val="single" w:color="auto" w:sz="4" w:space="0"/>
              <w:right w:val="single" w:color="auto" w:sz="4" w:space="0"/>
            </w:tcBorders>
            <w:vAlign w:val="center"/>
          </w:tcPr>
          <w:p w14:paraId="12479677">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4031" w:type="dxa"/>
            <w:tcBorders>
              <w:top w:val="single" w:color="auto" w:sz="4" w:space="0"/>
              <w:left w:val="single" w:color="auto" w:sz="4" w:space="0"/>
              <w:bottom w:val="single" w:color="auto" w:sz="4" w:space="0"/>
              <w:right w:val="single" w:color="auto" w:sz="4" w:space="0"/>
            </w:tcBorders>
            <w:vAlign w:val="center"/>
          </w:tcPr>
          <w:p w14:paraId="268CE106">
            <w:pPr>
              <w:widowControl/>
              <w:jc w:val="center"/>
              <w:rPr>
                <w:rFonts w:ascii="仿宋_GB2312" w:hAnsi="仿宋_GB2312" w:eastAsia="仿宋_GB2312" w:cs="仿宋_GB2312"/>
                <w:color w:val="000000" w:themeColor="text1"/>
                <w:szCs w:val="21"/>
                <w14:textFill>
                  <w14:solidFill>
                    <w14:schemeClr w14:val="tx1"/>
                  </w14:solidFill>
                </w14:textFill>
              </w:rPr>
            </w:pPr>
          </w:p>
        </w:tc>
      </w:tr>
    </w:tbl>
    <w:p w14:paraId="7237E628">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在客户支付款项的前提下，如甲方超过约定付款期限30日后仍未支付当期款项，则从第31日开始每日按当月未支付金额的万分之五向乙方支付违约金，违约金总额不超过当月双方结算金额的10%。</w:t>
      </w:r>
    </w:p>
    <w:p w14:paraId="44C42EF9">
      <w:pPr>
        <w:ind w:firstLine="560" w:firstLineChars="200"/>
        <w:rPr>
          <w:rFonts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三、知识产权</w:t>
      </w:r>
    </w:p>
    <w:p w14:paraId="3AA58CDB">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3.1乙方承诺拥有公共主题内容的合法权利，不侵犯任何第三方的肖像权、隐私权、专利权、商标权、著作权等合法权利及其他合同权利。甲方策划或提供素材的主题内容由甲方负责内容的知识产权合法合规性。</w:t>
      </w:r>
    </w:p>
    <w:p w14:paraId="3DD75199">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未经甲乙双方或相关权利人书面授权，任意一方不得修改、出售、传播部分或全部通过智融技术服务获得的甲方或相关权利人享有知识产权的内容，或就通过智融技术服务获得的任何内容/信息在任何地区进行任何形式的知识产权申请，或加以制作衍生服务或软件，或通过进行还原工程、反向组译及其他方式破译原代码。</w:t>
      </w:r>
    </w:p>
    <w:p w14:paraId="75D6C9D3">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3.3甲方客户提出向第三方购买版权、图像拍摄、肖像权使用、插图购买等需要，则甲方愿意在本协议规定费用以外，承担乙方因执行本协议需要购买的费用，但乙方应事先报经甲方书面确认同意。如因乙方提供的公共主题相关设计方案及其他相关内容引起第三方的知识产权方面纠纷，由乙方承担由此引起的全部责任及相应的律师费、旅差费和诉讼费、仲裁费、行政罚款、公证保全、赔偿等费用，并赔偿甲方因此遭受的经济损失；如因甲方客户提供的素材引起第三方的知识产权方面纠纷，由甲方客户承担由此引起的全部责任及相应的律师费、旅差费和诉讼费、仲裁费、行政罚款、公证保全、赔偿等费用。</w:t>
      </w:r>
    </w:p>
    <w:p w14:paraId="142646A6">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3.4对于乙方经过创意后提交给甲方或甲方客户的定制化创作作品，其知识产权归甲方或甲方客户拥有，未经甲方或甲方客户书面同意不得使用。乙方经过甲方书面同意后，可使用其中已不涉及甲方商业机密的设计作品用于乙方商务使用，但该使用不得损害甲方或甲方客户的相关利益。</w:t>
      </w:r>
    </w:p>
    <w:p w14:paraId="71A29F63">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3.5本协议中若因乙方提供素材被第三方主张肖像权、隐私权、专利权、商标权、著作权等合法权利，乙方应负责处理相关纠纷，若造成甲方损失的，乙方应当承担赔偿责任，赔偿甲方遭受的全部损失（含维权支出）。</w:t>
      </w:r>
    </w:p>
    <w:p w14:paraId="47653C7E">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38EE198C">
      <w:pPr>
        <w:ind w:firstLine="560" w:firstLineChars="200"/>
        <w:rPr>
          <w:rFonts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四、合同有效期</w:t>
      </w:r>
    </w:p>
    <w:p w14:paraId="0A7098E8">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甲乙双方协商一致合同有效期为2</w:t>
      </w:r>
      <w:r>
        <w:rPr>
          <w:rFonts w:ascii="仿宋_GB2312" w:hAnsi="仿宋_GB2312" w:eastAsia="仿宋_GB2312" w:cs="仿宋_GB2312"/>
          <w:color w:val="000000" w:themeColor="text1"/>
          <w:sz w:val="32"/>
          <w:szCs w:val="32"/>
          <w14:textFill>
            <w14:solidFill>
              <w14:schemeClr w14:val="tx1"/>
            </w14:solidFill>
          </w14:textFill>
        </w:rPr>
        <w:t>026</w:t>
      </w:r>
      <w:r>
        <w:rPr>
          <w:rFonts w:hint="eastAsia" w:ascii="仿宋_GB2312" w:hAnsi="仿宋_GB2312" w:eastAsia="仿宋_GB2312" w:cs="仿宋_GB2312"/>
          <w:color w:val="000000" w:themeColor="text1"/>
          <w:sz w:val="32"/>
          <w:szCs w:val="32"/>
          <w14:textFill>
            <w14:solidFill>
              <w14:schemeClr w14:val="tx1"/>
            </w14:solidFill>
          </w14:textFill>
        </w:rPr>
        <w:t>年x月</w:t>
      </w:r>
      <w:r>
        <w:rPr>
          <w:rFonts w:ascii="仿宋_GB2312" w:hAnsi="仿宋_GB2312" w:eastAsia="仿宋_GB2312" w:cs="仿宋_GB2312"/>
          <w:color w:val="000000" w:themeColor="text1"/>
          <w:sz w:val="32"/>
          <w:szCs w:val="32"/>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日至202</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ascii="仿宋_GB2312" w:hAnsi="仿宋_GB2312" w:eastAsia="仿宋_GB2312" w:cs="仿宋_GB2312"/>
          <w:color w:val="000000" w:themeColor="text1"/>
          <w:sz w:val="32"/>
          <w:szCs w:val="32"/>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ascii="仿宋_GB2312" w:hAnsi="仿宋_GB2312" w:eastAsia="仿宋_GB2312" w:cs="仿宋_GB2312"/>
          <w:color w:val="000000" w:themeColor="text1"/>
          <w:sz w:val="32"/>
          <w:szCs w:val="32"/>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日，合作期限届满前双方协商是否续约，协商一致则重新签订合作协议，若协商不一致或任意一方决定不继续合作的，对于在合作期限内已签订但服务期限尚未届满的订单，甲乙双方应按照原协议及本协议约定的标准完成服务和费用结算。</w:t>
      </w:r>
    </w:p>
    <w:p w14:paraId="4C3E89C7">
      <w:pPr>
        <w:numPr>
          <w:ilvl w:val="0"/>
          <w:numId w:val="7"/>
        </w:numPr>
        <w:spacing w:line="360" w:lineRule="auto"/>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其他事项</w:t>
      </w:r>
    </w:p>
    <w:p w14:paraId="1AA7B311">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协议的订立、效力、解释、履行和争议的解决均适用中华人民共和国大陆地区法律。因本协议所产生的以及因履行本协议而产生的任何争议，双方均应本着友好协商的原则加以解决。协商解决未果，任何一方可将争议提交本合同签订地有管辖权的人民法院提起诉讼，合同签订地为福建福州鼓楼区。</w:t>
      </w:r>
    </w:p>
    <w:p w14:paraId="1D0CCC12">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2、本协议自各方授权代表签字并加盖公章之日起生效。协议壹式肆份，甲乙双方各执贰份，具有同等法律效力。</w:t>
      </w:r>
    </w:p>
    <w:p w14:paraId="2B07434D">
      <w:pPr>
        <w:widowControl/>
        <w:spacing w:line="360" w:lineRule="auto"/>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（以下无正文）</w:t>
      </w:r>
    </w:p>
    <w:p w14:paraId="3B3BC088">
      <w:pPr>
        <w:widowControl/>
        <w:spacing w:line="360" w:lineRule="auto"/>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（签字页）</w:t>
      </w:r>
    </w:p>
    <w:p w14:paraId="531AA3AD">
      <w:pPr>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甲方：福建广电网络融媒体科技有限责任公司</w:t>
      </w:r>
    </w:p>
    <w:p w14:paraId="7767510B">
      <w:pPr>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法定代表人或授权代表签字：</w:t>
      </w:r>
    </w:p>
    <w:p w14:paraId="1428B329">
      <w:pPr>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签署日期：</w:t>
      </w:r>
    </w:p>
    <w:p w14:paraId="16997F1A">
      <w:pPr>
        <w:spacing w:line="360" w:lineRule="auto"/>
        <w:rPr>
          <w:rFonts w:ascii="仿宋_GB2312" w:hAnsi="仿宋_GB2312" w:eastAsia="仿宋_GB2312" w:cs="仿宋_GB2312"/>
          <w:color w:val="000000" w:themeColor="text1"/>
          <w:sz w:val="32"/>
          <w:szCs w:val="32"/>
          <w14:textFill>
            <w14:solidFill>
              <w14:schemeClr w14:val="tx1"/>
            </w14:solidFill>
          </w14:textFill>
        </w:rPr>
      </w:pPr>
    </w:p>
    <w:p w14:paraId="470BEC27">
      <w:pPr>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w:t>
      </w:r>
    </w:p>
    <w:p w14:paraId="31B436AD">
      <w:pPr>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法定代表人或授权代表签字：</w:t>
      </w:r>
    </w:p>
    <w:p w14:paraId="577C8A7D">
      <w:pPr>
        <w:spacing w:line="360" w:lineRule="auto"/>
        <w:rPr>
          <w:rFonts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签署日期：</w:t>
      </w:r>
    </w:p>
    <w:p w14:paraId="6746EF71">
      <w:pPr>
        <w:adjustRightInd w:val="0"/>
        <w:snapToGrid w:val="0"/>
        <w:spacing w:line="360" w:lineRule="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附件1</w:t>
      </w:r>
      <w:r>
        <w:rPr>
          <w:rFonts w:ascii="仿宋" w:hAnsi="仿宋" w:eastAsia="仿宋"/>
          <w:b/>
          <w:color w:val="000000" w:themeColor="text1"/>
          <w:sz w:val="28"/>
          <w:szCs w:val="28"/>
          <w14:textFill>
            <w14:solidFill>
              <w14:schemeClr w14:val="tx1"/>
            </w14:solidFill>
          </w14:textFill>
        </w:rPr>
        <w:t xml:space="preserve"> </w:t>
      </w:r>
    </w:p>
    <w:tbl>
      <w:tblPr>
        <w:tblStyle w:val="17"/>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3625"/>
        <w:gridCol w:w="844"/>
        <w:gridCol w:w="1616"/>
      </w:tblGrid>
      <w:tr w14:paraId="3C0D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81" w:type="dxa"/>
            <w:gridSpan w:val="4"/>
            <w:shd w:val="clear" w:color="auto" w:fill="auto"/>
            <w:vAlign w:val="center"/>
          </w:tcPr>
          <w:p w14:paraId="106A71AD">
            <w:pPr>
              <w:adjustRightInd w:val="0"/>
              <w:snapToGrid w:val="0"/>
              <w:spacing w:line="360" w:lineRule="auto"/>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移机、拆机、装机、配件结算标准</w:t>
            </w:r>
          </w:p>
        </w:tc>
      </w:tr>
      <w:tr w14:paraId="6064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96" w:type="dxa"/>
            <w:shd w:val="clear" w:color="auto" w:fill="auto"/>
            <w:vAlign w:val="center"/>
          </w:tcPr>
          <w:p w14:paraId="363DCC21">
            <w:pPr>
              <w:widowControl/>
              <w:jc w:val="center"/>
              <w:textAlignment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服务类型</w:t>
            </w:r>
          </w:p>
        </w:tc>
        <w:tc>
          <w:tcPr>
            <w:tcW w:w="3625" w:type="dxa"/>
            <w:shd w:val="clear" w:color="auto" w:fill="auto"/>
            <w:vAlign w:val="center"/>
          </w:tcPr>
          <w:p w14:paraId="301057E3">
            <w:pPr>
              <w:widowControl/>
              <w:jc w:val="center"/>
              <w:textAlignment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kern w:val="0"/>
                <w:sz w:val="20"/>
                <w:szCs w:val="20"/>
                <w:lang w:bidi="ar"/>
                <w14:textFill>
                  <w14:solidFill>
                    <w14:schemeClr w14:val="tx1"/>
                  </w14:solidFill>
                </w14:textFill>
              </w:rPr>
              <w:t>服务描述</w:t>
            </w:r>
          </w:p>
        </w:tc>
        <w:tc>
          <w:tcPr>
            <w:tcW w:w="844" w:type="dxa"/>
            <w:shd w:val="clear" w:color="auto" w:fill="auto"/>
            <w:noWrap/>
            <w:vAlign w:val="center"/>
          </w:tcPr>
          <w:p w14:paraId="2DE79946">
            <w:pPr>
              <w:widowControl/>
              <w:jc w:val="center"/>
              <w:textAlignment w:val="center"/>
              <w:rPr>
                <w:rFonts w:ascii="仿宋" w:hAnsi="仿宋" w:eastAsia="仿宋" w:cs="仿宋"/>
                <w:b/>
                <w:bCs/>
                <w:color w:val="000000" w:themeColor="text1"/>
                <w:kern w:val="0"/>
                <w:sz w:val="20"/>
                <w:szCs w:val="20"/>
                <w:lang w:bidi="ar"/>
                <w14:textFill>
                  <w14:solidFill>
                    <w14:schemeClr w14:val="tx1"/>
                  </w14:solidFill>
                </w14:textFill>
              </w:rPr>
            </w:pPr>
            <w:r>
              <w:rPr>
                <w:rFonts w:hint="eastAsia" w:ascii="仿宋" w:hAnsi="仿宋" w:eastAsia="仿宋" w:cs="仿宋"/>
                <w:b/>
                <w:bCs/>
                <w:color w:val="000000" w:themeColor="text1"/>
                <w:kern w:val="0"/>
                <w:sz w:val="20"/>
                <w:szCs w:val="20"/>
                <w:lang w:bidi="ar"/>
                <w14:textFill>
                  <w14:solidFill>
                    <w14:schemeClr w14:val="tx1"/>
                  </w14:solidFill>
                </w14:textFill>
              </w:rPr>
              <w:t>数量</w:t>
            </w:r>
          </w:p>
        </w:tc>
        <w:tc>
          <w:tcPr>
            <w:tcW w:w="1616" w:type="dxa"/>
            <w:shd w:val="clear" w:color="auto" w:fill="auto"/>
            <w:noWrap/>
            <w:vAlign w:val="center"/>
          </w:tcPr>
          <w:p w14:paraId="01596AE0">
            <w:pPr>
              <w:widowControl/>
              <w:jc w:val="center"/>
              <w:textAlignment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价格</w:t>
            </w:r>
          </w:p>
        </w:tc>
      </w:tr>
      <w:tr w14:paraId="0FA4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96" w:type="dxa"/>
            <w:shd w:val="clear" w:color="auto" w:fill="auto"/>
            <w:vAlign w:val="center"/>
          </w:tcPr>
          <w:p w14:paraId="410BA8D4">
            <w:pPr>
              <w:widowControl/>
              <w:jc w:val="left"/>
              <w:textAlignment w:val="center"/>
              <w:rPr>
                <w:rFonts w:ascii="仿宋" w:hAnsi="仿宋" w:eastAsia="仿宋" w:cs="仿宋"/>
                <w:b/>
                <w:bCs/>
                <w:color w:val="000000" w:themeColor="text1"/>
                <w:kern w:val="0"/>
                <w:sz w:val="20"/>
                <w:szCs w:val="20"/>
                <w:lang w:bidi="ar"/>
                <w14:textFill>
                  <w14:solidFill>
                    <w14:schemeClr w14:val="tx1"/>
                  </w14:solidFill>
                </w14:textFill>
              </w:rPr>
            </w:pPr>
            <w:r>
              <w:rPr>
                <w:rFonts w:hint="eastAsia" w:ascii="仿宋" w:hAnsi="仿宋" w:eastAsia="仿宋" w:cs="仿宋"/>
                <w:b/>
                <w:bCs/>
                <w:color w:val="000000" w:themeColor="text1"/>
                <w:kern w:val="0"/>
                <w:sz w:val="20"/>
                <w:szCs w:val="20"/>
                <w:lang w:bidi="ar"/>
                <w14:textFill>
                  <w14:solidFill>
                    <w14:schemeClr w14:val="tx1"/>
                  </w14:solidFill>
                </w14:textFill>
              </w:rPr>
              <w:t>x</w:t>
            </w:r>
            <w:r>
              <w:rPr>
                <w:rFonts w:ascii="仿宋" w:hAnsi="仿宋" w:eastAsia="仿宋" w:cs="仿宋"/>
                <w:b/>
                <w:bCs/>
                <w:color w:val="000000" w:themeColor="text1"/>
                <w:kern w:val="0"/>
                <w:sz w:val="20"/>
                <w:szCs w:val="20"/>
                <w:lang w:bidi="ar"/>
                <w14:textFill>
                  <w14:solidFill>
                    <w14:schemeClr w14:val="tx1"/>
                  </w14:solidFill>
                </w14:textFill>
              </w:rPr>
              <w:t>xx</w:t>
            </w:r>
          </w:p>
        </w:tc>
        <w:tc>
          <w:tcPr>
            <w:tcW w:w="3625" w:type="dxa"/>
            <w:shd w:val="clear" w:color="auto" w:fill="auto"/>
            <w:vAlign w:val="center"/>
          </w:tcPr>
          <w:p w14:paraId="2E486BC3">
            <w:pPr>
              <w:widowControl/>
              <w:jc w:val="left"/>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x</w:t>
            </w:r>
            <w:r>
              <w:rPr>
                <w:rFonts w:ascii="仿宋" w:hAnsi="仿宋" w:eastAsia="仿宋" w:cs="仿宋"/>
                <w:color w:val="000000" w:themeColor="text1"/>
                <w:kern w:val="0"/>
                <w:sz w:val="20"/>
                <w:szCs w:val="20"/>
                <w:lang w:bidi="ar"/>
                <w14:textFill>
                  <w14:solidFill>
                    <w14:schemeClr w14:val="tx1"/>
                  </w14:solidFill>
                </w14:textFill>
              </w:rPr>
              <w:t>xx</w:t>
            </w:r>
          </w:p>
        </w:tc>
        <w:tc>
          <w:tcPr>
            <w:tcW w:w="844" w:type="dxa"/>
            <w:shd w:val="clear" w:color="auto" w:fill="auto"/>
            <w:vAlign w:val="center"/>
          </w:tcPr>
          <w:p w14:paraId="01E820C3">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ascii="仿宋" w:hAnsi="仿宋" w:eastAsia="仿宋" w:cs="仿宋"/>
                <w:color w:val="000000" w:themeColor="text1"/>
                <w:sz w:val="20"/>
                <w:szCs w:val="20"/>
                <w14:textFill>
                  <w14:solidFill>
                    <w14:schemeClr w14:val="tx1"/>
                  </w14:solidFill>
                </w14:textFill>
              </w:rPr>
              <w:t>x</w:t>
            </w:r>
          </w:p>
        </w:tc>
        <w:tc>
          <w:tcPr>
            <w:tcW w:w="1616" w:type="dxa"/>
            <w:shd w:val="clear" w:color="auto" w:fill="auto"/>
            <w:noWrap/>
            <w:vAlign w:val="center"/>
          </w:tcPr>
          <w:p w14:paraId="61E11570">
            <w:pPr>
              <w:widowControl/>
              <w:jc w:val="center"/>
              <w:textAlignment w:val="center"/>
              <w:rPr>
                <w:rFonts w:ascii="仿宋" w:hAnsi="仿宋" w:eastAsia="仿宋" w:cs="仿宋"/>
                <w:color w:val="000000" w:themeColor="text1"/>
                <w:sz w:val="20"/>
                <w:szCs w:val="20"/>
                <w14:textFill>
                  <w14:solidFill>
                    <w14:schemeClr w14:val="tx1"/>
                  </w14:solidFill>
                </w14:textFill>
              </w:rPr>
            </w:pPr>
            <w:r>
              <w:rPr>
                <w:rFonts w:ascii="仿宋" w:hAnsi="仿宋" w:eastAsia="仿宋" w:cs="仿宋"/>
                <w:color w:val="000000" w:themeColor="text1"/>
                <w:sz w:val="20"/>
                <w:szCs w:val="20"/>
                <w14:textFill>
                  <w14:solidFill>
                    <w14:schemeClr w14:val="tx1"/>
                  </w14:solidFill>
                </w14:textFill>
              </w:rPr>
              <w:t>xxx</w:t>
            </w:r>
          </w:p>
        </w:tc>
      </w:tr>
      <w:tr w14:paraId="74CC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1" w:type="dxa"/>
            <w:gridSpan w:val="4"/>
            <w:shd w:val="clear" w:color="auto" w:fill="auto"/>
            <w:vAlign w:val="center"/>
          </w:tcPr>
          <w:p w14:paraId="1FE2E855">
            <w:pPr>
              <w:adjustRightInd w:val="0"/>
              <w:snapToGrid w:val="0"/>
              <w:spacing w:line="360" w:lineRule="auto"/>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备注：X</w:t>
            </w:r>
            <w:r>
              <w:rPr>
                <w:rFonts w:ascii="仿宋" w:hAnsi="仿宋" w:eastAsia="仿宋" w:cs="仿宋"/>
                <w:color w:val="000000" w:themeColor="text1"/>
                <w:kern w:val="0"/>
                <w:sz w:val="20"/>
                <w:szCs w:val="20"/>
                <w:lang w:bidi="ar"/>
                <w14:textFill>
                  <w14:solidFill>
                    <w14:schemeClr w14:val="tx1"/>
                  </w14:solidFill>
                </w14:textFill>
              </w:rPr>
              <w:t>XX</w:t>
            </w:r>
          </w:p>
        </w:tc>
      </w:tr>
    </w:tbl>
    <w:p w14:paraId="376E2034">
      <w:pPr>
        <w:spacing w:line="360" w:lineRule="auto"/>
        <w:rPr>
          <w:rFonts w:ascii="仿宋_GB2312" w:hAnsi="仿宋_GB2312" w:eastAsia="仿宋_GB2312" w:cs="仿宋_GB2312"/>
          <w:color w:val="000000" w:themeColor="text1"/>
          <w:sz w:val="28"/>
          <w:szCs w:val="36"/>
          <w14:textFill>
            <w14:solidFill>
              <w14:schemeClr w14:val="tx1"/>
            </w14:solidFill>
          </w14:textFill>
        </w:rPr>
      </w:pPr>
    </w:p>
    <w:p w14:paraId="5A276C5C">
      <w:pPr>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附件</w:t>
      </w:r>
      <w:r>
        <w:rPr>
          <w:rFonts w:ascii="仿宋_GB2312" w:hAnsi="仿宋_GB2312" w:eastAsia="仿宋_GB2312" w:cs="仿宋_GB2312"/>
          <w:color w:val="000000" w:themeColor="text1"/>
          <w:sz w:val="28"/>
          <w:szCs w:val="36"/>
          <w14:textFill>
            <w14:solidFill>
              <w14:schemeClr w14:val="tx1"/>
            </w14:solidFill>
          </w14:textFill>
        </w:rPr>
        <w:t>2</w:t>
      </w:r>
    </w:p>
    <w:p w14:paraId="524FC1A6">
      <w:pPr>
        <w:jc w:val="center"/>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智融技术服务需求订单</w:t>
      </w:r>
    </w:p>
    <w:p w14:paraId="7A1D320F">
      <w:pPr>
        <w:spacing w:line="540" w:lineRule="exact"/>
        <w:ind w:firstLine="5600" w:firstLineChars="20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订单编号:  </w:t>
      </w:r>
    </w:p>
    <w:p w14:paraId="3854B6DD">
      <w:pPr>
        <w:spacing w:line="540" w:lineRule="exact"/>
        <w:rPr>
          <w:rFonts w:ascii="仿宋_GB2312" w:hAnsi="仿宋_GB2312" w:eastAsia="仿宋_GB2312" w:cs="仿宋_GB2312"/>
          <w:color w:val="000000" w:themeColor="text1"/>
          <w:sz w:val="28"/>
          <w:szCs w:val="28"/>
          <w14:textFill>
            <w14:solidFill>
              <w14:schemeClr w14:val="tx1"/>
            </w14:solidFill>
          </w14:textFill>
        </w:rPr>
      </w:pPr>
    </w:p>
    <w:p w14:paraId="34696330">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甲方：福建广电网络融媒体科技有限责任公司</w:t>
      </w:r>
    </w:p>
    <w:p w14:paraId="1C46E383">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乙方：</w:t>
      </w:r>
    </w:p>
    <w:p w14:paraId="66936EB8">
      <w:pPr>
        <w:spacing w:line="360" w:lineRule="auto"/>
        <w:rPr>
          <w:rFonts w:ascii="仿宋_GB2312" w:hAnsi="仿宋_GB2312" w:eastAsia="仿宋_GB2312" w:cs="仿宋_GB2312"/>
          <w:color w:val="000000" w:themeColor="text1"/>
          <w:sz w:val="24"/>
          <w14:textFill>
            <w14:solidFill>
              <w14:schemeClr w14:val="tx1"/>
            </w14:solidFill>
          </w14:textFill>
        </w:rPr>
      </w:pPr>
    </w:p>
    <w:p w14:paraId="28AE8EE4">
      <w:pPr>
        <w:pStyle w:val="31"/>
        <w:numPr>
          <w:ilvl w:val="0"/>
          <w:numId w:val="8"/>
        </w:numPr>
        <w:ind w:firstLineChars="0"/>
        <w:jc w:val="lef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服务内容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4"/>
        <w:gridCol w:w="430"/>
        <w:gridCol w:w="1943"/>
        <w:gridCol w:w="4085"/>
      </w:tblGrid>
      <w:tr w14:paraId="379B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9" w:type="dxa"/>
            <w:gridSpan w:val="2"/>
          </w:tcPr>
          <w:p w14:paraId="704EA5A7">
            <w:pPr>
              <w:spacing w:line="360" w:lineRule="auto"/>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服务用户</w:t>
            </w:r>
          </w:p>
        </w:tc>
        <w:tc>
          <w:tcPr>
            <w:tcW w:w="6458" w:type="dxa"/>
            <w:gridSpan w:val="3"/>
          </w:tcPr>
          <w:p w14:paraId="55D98BBC">
            <w:pPr>
              <w:spacing w:line="360" w:lineRule="auto"/>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最终用户名称</w:t>
            </w:r>
          </w:p>
        </w:tc>
      </w:tr>
      <w:tr w14:paraId="1768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79" w:type="dxa"/>
            <w:gridSpan w:val="2"/>
          </w:tcPr>
          <w:p w14:paraId="62FCE344">
            <w:pPr>
              <w:spacing w:line="360" w:lineRule="auto"/>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用户类型</w:t>
            </w:r>
          </w:p>
        </w:tc>
        <w:tc>
          <w:tcPr>
            <w:tcW w:w="6458" w:type="dxa"/>
            <w:gridSpan w:val="3"/>
          </w:tcPr>
          <w:p w14:paraId="5F652AD9">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黑体"/>
                <w:color w:val="000000" w:themeColor="text1"/>
                <w:sz w:val="24"/>
                <w14:textFill>
                  <w14:solidFill>
                    <w14:schemeClr w14:val="tx1"/>
                  </w14:solidFill>
                </w14:textFill>
              </w:rPr>
              <w:t>□VIP      □SVIP</w:t>
            </w:r>
          </w:p>
        </w:tc>
      </w:tr>
      <w:tr w14:paraId="679A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79" w:type="dxa"/>
            <w:gridSpan w:val="2"/>
          </w:tcPr>
          <w:p w14:paraId="50C67614">
            <w:pPr>
              <w:spacing w:line="360" w:lineRule="auto"/>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代 理 商</w:t>
            </w:r>
          </w:p>
        </w:tc>
        <w:tc>
          <w:tcPr>
            <w:tcW w:w="6458" w:type="dxa"/>
            <w:gridSpan w:val="3"/>
          </w:tcPr>
          <w:p w14:paraId="0B816F85">
            <w:pPr>
              <w:spacing w:line="360" w:lineRule="auto"/>
              <w:rPr>
                <w:rFonts w:ascii="仿宋_GB2312" w:hAnsi="仿宋_GB2312" w:eastAsia="仿宋_GB2312" w:cs="仿宋_GB2312"/>
                <w:color w:val="000000" w:themeColor="text1"/>
                <w:sz w:val="24"/>
                <w14:textFill>
                  <w14:solidFill>
                    <w14:schemeClr w14:val="tx1"/>
                  </w14:solidFill>
                </w14:textFill>
              </w:rPr>
            </w:pPr>
          </w:p>
        </w:tc>
      </w:tr>
      <w:tr w14:paraId="49A7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879" w:type="dxa"/>
            <w:gridSpan w:val="2"/>
            <w:vAlign w:val="center"/>
          </w:tcPr>
          <w:p w14:paraId="28445AFB">
            <w:pPr>
              <w:spacing w:line="360" w:lineRule="auto"/>
              <w:jc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订单类型</w:t>
            </w:r>
          </w:p>
        </w:tc>
        <w:tc>
          <w:tcPr>
            <w:tcW w:w="6458" w:type="dxa"/>
            <w:gridSpan w:val="3"/>
          </w:tcPr>
          <w:p w14:paraId="7CE84DE9">
            <w:pPr>
              <w:spacing w:line="360" w:lineRule="auto"/>
              <w:rPr>
                <w:rFonts w:ascii="仿宋_GB2312" w:hAnsi="仿宋_GB2312" w:eastAsia="仿宋" w:cs="仿宋_GB2312"/>
                <w:b/>
                <w:bCs/>
                <w:color w:val="000000" w:themeColor="text1"/>
                <w:sz w:val="24"/>
                <w14:textFill>
                  <w14:solidFill>
                    <w14:schemeClr w14:val="tx1"/>
                  </w14:solidFill>
                </w14:textFill>
              </w:rPr>
            </w:pPr>
            <w:r>
              <w:rPr>
                <w:rFonts w:hint="eastAsia" w:ascii="仿宋" w:hAnsi="仿宋" w:eastAsia="仿宋" w:cs="黑体"/>
                <w:color w:val="000000" w:themeColor="text1"/>
                <w:sz w:val="24"/>
                <w14:textFill>
                  <w14:solidFill>
                    <w14:schemeClr w14:val="tx1"/>
                  </w14:solidFill>
                </w14:textFill>
              </w:rPr>
              <w:t>□新签     □续签     □增补     □活动</w:t>
            </w:r>
          </w:p>
        </w:tc>
      </w:tr>
      <w:tr w14:paraId="2A5A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337" w:type="dxa"/>
            <w:gridSpan w:val="5"/>
            <w:shd w:val="clear" w:color="auto" w:fill="CFCECE" w:themeFill="background2" w:themeFillShade="E5"/>
          </w:tcPr>
          <w:p w14:paraId="3F553EA1">
            <w:pPr>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智融技术服务</w:t>
            </w:r>
          </w:p>
        </w:tc>
      </w:tr>
      <w:tr w14:paraId="7FF0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252" w:type="dxa"/>
            <w:gridSpan w:val="4"/>
            <w:shd w:val="clear" w:color="auto" w:fill="auto"/>
          </w:tcPr>
          <w:p w14:paraId="7743E63E">
            <w:pPr>
              <w:spacing w:line="360" w:lineRule="auto"/>
              <w:jc w:val="center"/>
              <w:rPr>
                <w:rFonts w:ascii="仿宋_GB2312" w:hAnsi="仿宋_GB2312" w:eastAsia="仿宋_GB2312" w:cs="仿宋_GB2312"/>
                <w:bCs/>
                <w:color w:val="000000" w:themeColor="text1"/>
                <w:kern w:val="0"/>
                <w:sz w:val="24"/>
                <w14:textFill>
                  <w14:solidFill>
                    <w14:schemeClr w14:val="tx1"/>
                  </w14:solidFill>
                </w14:textFill>
              </w:rPr>
            </w:pPr>
            <w:r>
              <w:rPr>
                <w:rFonts w:ascii="仿宋_GB2312" w:hAnsi="仿宋_GB2312" w:eastAsia="仿宋_GB2312" w:cs="仿宋_GB2312"/>
                <w:bCs/>
                <w:color w:val="000000" w:themeColor="text1"/>
                <w:kern w:val="0"/>
                <w:sz w:val="24"/>
                <w14:textFill>
                  <w14:solidFill>
                    <w14:schemeClr w14:val="tx1"/>
                  </w14:solidFill>
                </w14:textFill>
              </w:rPr>
              <w:t>XXX</w:t>
            </w:r>
          </w:p>
        </w:tc>
        <w:tc>
          <w:tcPr>
            <w:tcW w:w="4085" w:type="dxa"/>
            <w:shd w:val="clear" w:color="auto" w:fill="auto"/>
          </w:tcPr>
          <w:p w14:paraId="60E6B91C">
            <w:pPr>
              <w:spacing w:line="360" w:lineRule="auto"/>
              <w:rPr>
                <w:rFonts w:ascii="仿宋_GB2312" w:hAnsi="仿宋_GB2312" w:eastAsia="仿宋_GB2312" w:cs="仿宋_GB2312"/>
                <w:bCs/>
                <w:color w:val="000000" w:themeColor="text1"/>
                <w:kern w:val="0"/>
                <w:sz w:val="24"/>
                <w14:textFill>
                  <w14:solidFill>
                    <w14:schemeClr w14:val="tx1"/>
                  </w14:solidFill>
                </w14:textFill>
              </w:rPr>
            </w:pPr>
            <w:r>
              <w:rPr>
                <w:rFonts w:ascii="仿宋_GB2312" w:hAnsi="仿宋_GB2312" w:eastAsia="仿宋_GB2312" w:cs="仿宋_GB2312"/>
                <w:bCs/>
                <w:color w:val="000000" w:themeColor="text1"/>
                <w:kern w:val="0"/>
                <w:sz w:val="24"/>
                <w14:textFill>
                  <w14:solidFill>
                    <w14:schemeClr w14:val="tx1"/>
                  </w14:solidFill>
                </w14:textFill>
              </w:rPr>
              <w:t>XXX</w:t>
            </w:r>
          </w:p>
        </w:tc>
      </w:tr>
      <w:tr w14:paraId="746A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gridSpan w:val="3"/>
          </w:tcPr>
          <w:p w14:paraId="14F156BF">
            <w:pPr>
              <w:spacing w:line="360" w:lineRule="auto"/>
              <w:ind w:firstLine="241" w:firstLineChars="100"/>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收货地址</w:t>
            </w:r>
          </w:p>
        </w:tc>
        <w:tc>
          <w:tcPr>
            <w:tcW w:w="6028" w:type="dxa"/>
            <w:gridSpan w:val="2"/>
          </w:tcPr>
          <w:p w14:paraId="495F1403">
            <w:pPr>
              <w:spacing w:line="360" w:lineRule="auto"/>
              <w:ind w:firstLine="480" w:firstLineChars="200"/>
              <w:jc w:val="left"/>
              <w:rPr>
                <w:rFonts w:ascii="仿宋_GB2312" w:hAnsi="仿宋_GB2312" w:eastAsia="仿宋_GB2312" w:cs="仿宋_GB2312"/>
                <w:bCs/>
                <w:color w:val="000000" w:themeColor="text1"/>
                <w:sz w:val="24"/>
                <w14:textFill>
                  <w14:solidFill>
                    <w14:schemeClr w14:val="tx1"/>
                  </w14:solidFill>
                </w14:textFill>
              </w:rPr>
            </w:pPr>
          </w:p>
        </w:tc>
      </w:tr>
      <w:tr w14:paraId="14AC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gridSpan w:val="3"/>
          </w:tcPr>
          <w:p w14:paraId="70C72B4B">
            <w:pPr>
              <w:spacing w:line="360" w:lineRule="auto"/>
              <w:jc w:val="lef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接货人姓名及电话</w:t>
            </w:r>
          </w:p>
        </w:tc>
        <w:tc>
          <w:tcPr>
            <w:tcW w:w="6028" w:type="dxa"/>
            <w:gridSpan w:val="2"/>
          </w:tcPr>
          <w:p w14:paraId="0A6D7B55">
            <w:pPr>
              <w:spacing w:line="360" w:lineRule="auto"/>
              <w:ind w:firstLine="480" w:firstLineChars="200"/>
              <w:jc w:val="left"/>
              <w:rPr>
                <w:rFonts w:ascii="仿宋_GB2312" w:hAnsi="仿宋_GB2312" w:eastAsia="仿宋_GB2312" w:cs="仿宋_GB2312"/>
                <w:bCs/>
                <w:color w:val="000000" w:themeColor="text1"/>
                <w:sz w:val="24"/>
                <w14:textFill>
                  <w14:solidFill>
                    <w14:schemeClr w14:val="tx1"/>
                  </w14:solidFill>
                </w14:textFill>
              </w:rPr>
            </w:pPr>
          </w:p>
        </w:tc>
      </w:tr>
      <w:tr w14:paraId="59F7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gridSpan w:val="3"/>
          </w:tcPr>
          <w:p w14:paraId="318FED29">
            <w:pPr>
              <w:spacing w:line="360" w:lineRule="auto"/>
              <w:ind w:firstLine="241" w:firstLineChars="100"/>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到货日期</w:t>
            </w:r>
          </w:p>
        </w:tc>
        <w:tc>
          <w:tcPr>
            <w:tcW w:w="6028" w:type="dxa"/>
            <w:gridSpan w:val="2"/>
          </w:tcPr>
          <w:p w14:paraId="42B2C9F2">
            <w:pPr>
              <w:spacing w:line="360" w:lineRule="auto"/>
              <w:ind w:firstLine="480" w:firstLineChars="200"/>
              <w:jc w:val="left"/>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年</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月</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日</w:t>
            </w:r>
          </w:p>
        </w:tc>
      </w:tr>
      <w:tr w14:paraId="722C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14:paraId="0E3F68E1">
            <w:pPr>
              <w:spacing w:line="600" w:lineRule="auto"/>
              <w:ind w:firstLine="241" w:firstLineChars="100"/>
              <w:rPr>
                <w:rFonts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服务期限</w:t>
            </w:r>
          </w:p>
        </w:tc>
        <w:tc>
          <w:tcPr>
            <w:tcW w:w="6632" w:type="dxa"/>
            <w:gridSpan w:val="4"/>
          </w:tcPr>
          <w:p w14:paraId="5B19AC1E">
            <w:pPr>
              <w:spacing w:line="360" w:lineRule="auto"/>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自</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日至</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日，总计</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年。</w:t>
            </w:r>
          </w:p>
          <w:p w14:paraId="4F88CEE5">
            <w:pPr>
              <w:spacing w:after="12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如有变更，以双方盖章书面确认的变更协议为准。</w:t>
            </w:r>
          </w:p>
        </w:tc>
      </w:tr>
      <w:tr w14:paraId="28FA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309" w:type="dxa"/>
            <w:gridSpan w:val="3"/>
          </w:tcPr>
          <w:p w14:paraId="07740862">
            <w:pPr>
              <w:spacing w:line="600" w:lineRule="auto"/>
              <w:rPr>
                <w:rFonts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客户订单信息</w:t>
            </w:r>
          </w:p>
        </w:tc>
        <w:tc>
          <w:tcPr>
            <w:tcW w:w="6028" w:type="dxa"/>
            <w:gridSpan w:val="2"/>
          </w:tcPr>
          <w:p w14:paraId="43C6F694">
            <w:pPr>
              <w:spacing w:after="12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X</w:t>
            </w:r>
            <w:r>
              <w:rPr>
                <w:rFonts w:ascii="仿宋_GB2312" w:hAnsi="仿宋_GB2312" w:eastAsia="仿宋_GB2312" w:cs="仿宋_GB2312"/>
                <w:color w:val="000000" w:themeColor="text1"/>
                <w:sz w:val="24"/>
                <w14:textFill>
                  <w14:solidFill>
                    <w14:schemeClr w14:val="tx1"/>
                  </w14:solidFill>
                </w14:textFill>
              </w:rPr>
              <w:t>XXX</w:t>
            </w:r>
          </w:p>
        </w:tc>
      </w:tr>
      <w:tr w14:paraId="55B0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309" w:type="dxa"/>
            <w:gridSpan w:val="3"/>
          </w:tcPr>
          <w:p w14:paraId="17F7FCCF">
            <w:pPr>
              <w:spacing w:line="360" w:lineRule="auto"/>
              <w:ind w:firstLine="482" w:firstLineChars="200"/>
              <w:rPr>
                <w:rFonts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备注</w:t>
            </w:r>
          </w:p>
        </w:tc>
        <w:tc>
          <w:tcPr>
            <w:tcW w:w="6028" w:type="dxa"/>
            <w:gridSpan w:val="2"/>
          </w:tcPr>
          <w:p w14:paraId="16328900">
            <w:pPr>
              <w:spacing w:after="120"/>
              <w:rPr>
                <w:rFonts w:ascii="仿宋_GB2312" w:hAnsi="仿宋_GB2312" w:eastAsia="仿宋_GB2312" w:cs="仿宋_GB2312"/>
                <w:color w:val="000000" w:themeColor="text1"/>
                <w:sz w:val="24"/>
                <w14:textFill>
                  <w14:solidFill>
                    <w14:schemeClr w14:val="tx1"/>
                  </w14:solidFill>
                </w14:textFill>
              </w:rPr>
            </w:pPr>
          </w:p>
        </w:tc>
      </w:tr>
    </w:tbl>
    <w:p w14:paraId="69D1FB0C">
      <w:pPr>
        <w:spacing w:before="156" w:beforeLines="50" w:line="360" w:lineRule="auto"/>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二、服务确认要求</w:t>
      </w:r>
    </w:p>
    <w:p w14:paraId="100F201D">
      <w:pPr>
        <w:pStyle w:val="31"/>
        <w:spacing w:line="360" w:lineRule="auto"/>
        <w:ind w:firstLine="480"/>
        <w:jc w:val="left"/>
        <w:rPr>
          <w:rFonts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2.1乙方需在本订单到货日期前发货，</w:t>
      </w:r>
      <w:r>
        <w:rPr>
          <w:rFonts w:hint="eastAsia" w:ascii="仿宋_GB2312" w:hAnsi="仿宋_GB2312" w:eastAsia="仿宋_GB2312" w:cs="仿宋_GB2312"/>
          <w:bCs/>
          <w:color w:val="000000" w:themeColor="text1"/>
          <w:sz w:val="24"/>
          <w14:textFill>
            <w14:solidFill>
              <w14:schemeClr w14:val="tx1"/>
            </w14:solidFill>
          </w14:textFill>
        </w:rPr>
        <w:t>终端到货日期不得早于服务开始日期的前</w:t>
      </w:r>
      <w:r>
        <w:rPr>
          <w:rFonts w:ascii="仿宋_GB2312" w:hAnsi="仿宋_GB2312" w:eastAsia="仿宋_GB2312" w:cs="仿宋_GB2312"/>
          <w:bCs/>
          <w:color w:val="000000" w:themeColor="text1"/>
          <w:sz w:val="24"/>
          <w14:textFill>
            <w14:solidFill>
              <w14:schemeClr w14:val="tx1"/>
            </w14:solidFill>
          </w14:textFill>
        </w:rPr>
        <w:t>1</w:t>
      </w:r>
      <w:r>
        <w:rPr>
          <w:rFonts w:hint="eastAsia" w:ascii="仿宋_GB2312" w:hAnsi="仿宋_GB2312" w:eastAsia="仿宋_GB2312" w:cs="仿宋_GB2312"/>
          <w:bCs/>
          <w:color w:val="000000" w:themeColor="text1"/>
          <w:sz w:val="24"/>
          <w14:textFill>
            <w14:solidFill>
              <w14:schemeClr w14:val="tx1"/>
            </w14:solidFill>
          </w14:textFill>
        </w:rPr>
        <w:t>5</w:t>
      </w:r>
      <w:r>
        <w:rPr>
          <w:rFonts w:ascii="仿宋_GB2312" w:hAnsi="仿宋_GB2312" w:eastAsia="仿宋_GB2312" w:cs="仿宋_GB2312"/>
          <w:bCs/>
          <w:color w:val="000000" w:themeColor="text1"/>
          <w:sz w:val="24"/>
          <w14:textFill>
            <w14:solidFill>
              <w14:schemeClr w14:val="tx1"/>
            </w14:solidFill>
          </w14:textFill>
        </w:rPr>
        <w:t>天</w:t>
      </w:r>
      <w:r>
        <w:rPr>
          <w:rFonts w:hint="eastAsia" w:ascii="仿宋_GB2312" w:hAnsi="仿宋_GB2312" w:eastAsia="仿宋_GB2312" w:cs="仿宋_GB2312"/>
          <w:bCs/>
          <w:color w:val="000000" w:themeColor="text1"/>
          <w:sz w:val="24"/>
          <w14:textFill>
            <w14:solidFill>
              <w14:schemeClr w14:val="tx1"/>
            </w14:solidFill>
          </w14:textFill>
        </w:rPr>
        <w:t>。</w:t>
      </w:r>
    </w:p>
    <w:p w14:paraId="7C5E179C">
      <w:pPr>
        <w:pStyle w:val="31"/>
        <w:spacing w:line="360" w:lineRule="auto"/>
        <w:ind w:firstLine="48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2.2智融技术经部署、安装、调试并符合运行条件后，乙方向甲方提供服务确认单，甲方需在收到服务确认单后的3个工作日内加盖公章予以确认。</w:t>
      </w:r>
    </w:p>
    <w:p w14:paraId="5A716CF4">
      <w:pPr>
        <w:pStyle w:val="31"/>
        <w:numPr>
          <w:ilvl w:val="0"/>
          <w:numId w:val="9"/>
        </w:numPr>
        <w:spacing w:after="156" w:afterLines="50"/>
        <w:ind w:firstLine="480"/>
        <w:jc w:val="lef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付款方式</w:t>
      </w:r>
    </w:p>
    <w:tbl>
      <w:tblPr>
        <w:tblStyle w:val="18"/>
        <w:tblW w:w="865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0"/>
      </w:tblGrid>
      <w:tr w14:paraId="51D4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50" w:type="dxa"/>
          </w:tcPr>
          <w:p w14:paraId="523072C1">
            <w:pPr>
              <w:spacing w:line="288"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总结算金额：</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元（人民币）大写：</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；共分</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次进行结算。</w:t>
            </w:r>
          </w:p>
        </w:tc>
      </w:tr>
      <w:tr w14:paraId="7A54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0" w:type="dxa"/>
          </w:tcPr>
          <w:p w14:paraId="0C1D66FB">
            <w:pPr>
              <w:spacing w:line="288"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首次结算金额：</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元（人民币）大写：</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（人民币）</w:t>
            </w:r>
          </w:p>
          <w:p w14:paraId="04AA49E7">
            <w:pPr>
              <w:spacing w:line="288" w:lineRule="auto"/>
              <w:rPr>
                <w:rFonts w:ascii="仿宋_GB2312" w:hAnsi="仿宋_GB2312" w:eastAsia="仿宋_GB2312" w:cs="仿宋_GB2312"/>
                <w:bCs/>
                <w:strike/>
                <w:color w:val="000000" w:themeColor="text1"/>
                <w:sz w:val="24"/>
                <w14:textFill>
                  <w14:solidFill>
                    <w14:schemeClr w14:val="tx1"/>
                  </w14:solidFill>
                </w14:textFill>
              </w:rPr>
            </w:pPr>
          </w:p>
        </w:tc>
      </w:tr>
      <w:tr w14:paraId="4B27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0" w:type="dxa"/>
          </w:tcPr>
          <w:p w14:paraId="7A3DE8A6">
            <w:pPr>
              <w:spacing w:line="288" w:lineRule="auto"/>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第二次结算金额：</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元（人民币）大写：</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（人民币）</w:t>
            </w:r>
          </w:p>
          <w:p w14:paraId="674BA5DC">
            <w:pPr>
              <w:spacing w:line="288" w:lineRule="auto"/>
              <w:jc w:val="left"/>
              <w:rPr>
                <w:rFonts w:ascii="仿宋_GB2312" w:hAnsi="仿宋_GB2312" w:eastAsia="仿宋_GB2312" w:cs="仿宋_GB2312"/>
                <w:strike/>
                <w:color w:val="000000" w:themeColor="text1"/>
                <w:sz w:val="24"/>
                <w:u w:val="single"/>
                <w14:textFill>
                  <w14:solidFill>
                    <w14:schemeClr w14:val="tx1"/>
                  </w14:solidFill>
                </w14:textFill>
              </w:rPr>
            </w:pPr>
          </w:p>
        </w:tc>
      </w:tr>
      <w:tr w14:paraId="7C38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650" w:type="dxa"/>
          </w:tcPr>
          <w:p w14:paraId="6FDDB5B4">
            <w:pPr>
              <w:spacing w:line="288" w:lineRule="auto"/>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第三次结算金额：</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元（人民币）大写：</w:t>
            </w:r>
            <w:r>
              <w:rPr>
                <w:rFonts w:hint="eastAsia" w:ascii="仿宋_GB2312" w:hAnsi="仿宋_GB2312" w:eastAsia="仿宋_GB2312" w:cs="仿宋_GB2312"/>
                <w:bCs/>
                <w:color w:val="000000" w:themeColor="text1"/>
                <w:sz w:val="24"/>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14:textFill>
                  <w14:solidFill>
                    <w14:schemeClr w14:val="tx1"/>
                  </w14:solidFill>
                </w14:textFill>
              </w:rPr>
              <w:t>（人民币）</w:t>
            </w:r>
          </w:p>
          <w:p w14:paraId="4EED38A0">
            <w:pPr>
              <w:spacing w:line="288" w:lineRule="auto"/>
              <w:jc w:val="left"/>
              <w:rPr>
                <w:rFonts w:ascii="仿宋_GB2312" w:hAnsi="仿宋_GB2312" w:eastAsia="仿宋_GB2312" w:cs="仿宋_GB2312"/>
                <w:strike/>
                <w:color w:val="000000" w:themeColor="text1"/>
                <w:sz w:val="24"/>
                <w14:textFill>
                  <w14:solidFill>
                    <w14:schemeClr w14:val="tx1"/>
                  </w14:solidFill>
                </w14:textFill>
              </w:rPr>
            </w:pPr>
          </w:p>
        </w:tc>
      </w:tr>
    </w:tbl>
    <w:p w14:paraId="76AF2649">
      <w:pPr>
        <w:spacing w:before="156" w:beforeLines="50"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bookmarkStart w:id="52" w:name="_Hlk41942086"/>
      <w:r>
        <w:rPr>
          <w:rFonts w:hint="eastAsia" w:ascii="黑体" w:hAnsi="黑体" w:eastAsia="黑体"/>
          <w:color w:val="000000" w:themeColor="text1"/>
          <w:sz w:val="24"/>
          <w14:textFill>
            <w14:solidFill>
              <w14:schemeClr w14:val="tx1"/>
            </w14:solidFill>
          </w14:textFill>
        </w:rPr>
        <w:t>四、其它事项</w:t>
      </w:r>
    </w:p>
    <w:bookmarkEnd w:id="52"/>
    <w:p w14:paraId="6F355139">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4.1本订单双方授权代表签字并加盖公章或已备案的合同章后方可生效，订单壹式贰份，甲、乙双方各执壹份，具有同等效力。</w:t>
      </w:r>
    </w:p>
    <w:p w14:paraId="6CD2C810">
      <w:pPr>
        <w:spacing w:line="360" w:lineRule="auto"/>
        <w:ind w:firstLine="48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 未尽事宜，按合作协议执行。本需求单条款所述内容与服务合作协议不一致的，以服务合作协议为准。</w:t>
      </w:r>
    </w:p>
    <w:p w14:paraId="79BD9CBE">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【以下无正文，为签署页】</w:t>
      </w:r>
    </w:p>
    <w:tbl>
      <w:tblPr>
        <w:tblStyle w:val="18"/>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3936"/>
      </w:tblGrid>
      <w:tr w14:paraId="5A06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3" w:type="dxa"/>
          </w:tcPr>
          <w:p w14:paraId="1375D688">
            <w:pPr>
              <w:adjustRightInd w:val="0"/>
              <w:snapToGrid w:val="0"/>
              <w:spacing w:before="312" w:beforeLines="100" w:after="156" w:afterLines="50"/>
              <w:ind w:left="840" w:hanging="840" w:hangingChars="3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甲方：福建广电网络融媒体科技有限责任公司</w:t>
            </w:r>
          </w:p>
          <w:p w14:paraId="64D4825A">
            <w:pPr>
              <w:adjustRightInd w:val="0"/>
              <w:snapToGrid w:val="0"/>
              <w:spacing w:before="312" w:beforeLines="100" w:after="156" w:afterLines="50"/>
              <w:ind w:left="566" w:hanging="565" w:hanging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授权代表:</w:t>
            </w:r>
          </w:p>
          <w:p w14:paraId="2E866121">
            <w:pPr>
              <w:adjustRightInd w:val="0"/>
              <w:snapToGrid w:val="0"/>
              <w:spacing w:before="312" w:beforeLines="100" w:after="156" w:afterLines="50"/>
              <w:ind w:left="566" w:hanging="565" w:hanging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日期：</w:t>
            </w:r>
          </w:p>
        </w:tc>
        <w:tc>
          <w:tcPr>
            <w:tcW w:w="3936" w:type="dxa"/>
          </w:tcPr>
          <w:p w14:paraId="5C364426">
            <w:pPr>
              <w:adjustRightInd w:val="0"/>
              <w:snapToGrid w:val="0"/>
              <w:spacing w:before="312" w:beforeLines="100" w:after="156" w:afterLines="5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乙方：授权代表:</w:t>
            </w:r>
          </w:p>
          <w:p w14:paraId="7BF57C14">
            <w:pPr>
              <w:adjustRightInd w:val="0"/>
              <w:snapToGrid w:val="0"/>
              <w:spacing w:before="312" w:beforeLines="100" w:after="156" w:afterLines="5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日期：</w:t>
            </w:r>
          </w:p>
        </w:tc>
      </w:tr>
    </w:tbl>
    <w:p w14:paraId="17DA5457">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264EDCE0">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27E89EBF">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10299614">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5ECDC618">
      <w:pPr>
        <w:pStyle w:val="2"/>
        <w:spacing w:before="240" w:after="120" w:line="360" w:lineRule="auto"/>
        <w:rPr>
          <w:rFonts w:ascii="仿宋" w:hAnsi="仿宋" w:eastAsia="仿宋"/>
          <w:b w:val="0"/>
          <w:bCs w:val="0"/>
          <w:color w:val="000000" w:themeColor="text1"/>
          <w:sz w:val="28"/>
          <w:szCs w:val="40"/>
          <w14:textFill>
            <w14:solidFill>
              <w14:schemeClr w14:val="tx1"/>
            </w14:solidFill>
          </w14:textFill>
        </w:rPr>
      </w:pPr>
      <w:r>
        <w:rPr>
          <w:rFonts w:hint="eastAsia" w:ascii="仿宋" w:hAnsi="仿宋" w:eastAsia="仿宋"/>
          <w:b w:val="0"/>
          <w:bCs w:val="0"/>
          <w:color w:val="000000" w:themeColor="text1"/>
          <w:sz w:val="28"/>
          <w:szCs w:val="40"/>
          <w14:textFill>
            <w14:solidFill>
              <w14:schemeClr w14:val="tx1"/>
            </w14:solidFill>
          </w14:textFill>
        </w:rPr>
        <w:t>附件</w:t>
      </w:r>
      <w:r>
        <w:rPr>
          <w:rFonts w:ascii="仿宋" w:hAnsi="仿宋" w:eastAsia="仿宋"/>
          <w:b w:val="0"/>
          <w:bCs w:val="0"/>
          <w:color w:val="000000" w:themeColor="text1"/>
          <w:sz w:val="28"/>
          <w:szCs w:val="40"/>
          <w14:textFill>
            <w14:solidFill>
              <w14:schemeClr w14:val="tx1"/>
            </w14:solidFill>
          </w14:textFill>
        </w:rPr>
        <w:t xml:space="preserve">3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298"/>
      </w:tblGrid>
      <w:tr w14:paraId="1673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14:paraId="4137DB26">
            <w:pPr>
              <w:jc w:val="center"/>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智融技术服务确认单</w:t>
            </w:r>
          </w:p>
        </w:tc>
      </w:tr>
      <w:tr w14:paraId="064A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0D1C5B19">
            <w:pPr>
              <w:jc w:val="left"/>
              <w:rPr>
                <w:rFonts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业主单位</w:t>
            </w:r>
          </w:p>
        </w:tc>
        <w:tc>
          <w:tcPr>
            <w:tcW w:w="6298" w:type="dxa"/>
            <w:vAlign w:val="center"/>
          </w:tcPr>
          <w:p w14:paraId="57BCC10D">
            <w:pPr>
              <w:jc w:val="left"/>
              <w:rPr>
                <w:rFonts w:ascii="仿宋" w:hAnsi="仿宋" w:eastAsia="仿宋" w:cs="Times New Roman"/>
                <w:color w:val="000000" w:themeColor="text1"/>
                <w:sz w:val="32"/>
                <w:szCs w:val="32"/>
                <w14:textFill>
                  <w14:solidFill>
                    <w14:schemeClr w14:val="tx1"/>
                  </w14:solidFill>
                </w14:textFill>
              </w:rPr>
            </w:pPr>
          </w:p>
        </w:tc>
      </w:tr>
      <w:tr w14:paraId="1292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583B84C1">
            <w:pPr>
              <w:jc w:val="left"/>
              <w:rPr>
                <w:rFonts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项目名称</w:t>
            </w:r>
          </w:p>
        </w:tc>
        <w:tc>
          <w:tcPr>
            <w:tcW w:w="6298" w:type="dxa"/>
            <w:vAlign w:val="center"/>
          </w:tcPr>
          <w:p w14:paraId="27EE2A6F">
            <w:pPr>
              <w:jc w:val="left"/>
              <w:rPr>
                <w:rFonts w:ascii="仿宋" w:hAnsi="仿宋" w:eastAsia="仿宋" w:cs="Times New Roman"/>
                <w:color w:val="000000" w:themeColor="text1"/>
                <w:sz w:val="32"/>
                <w:szCs w:val="32"/>
                <w14:textFill>
                  <w14:solidFill>
                    <w14:schemeClr w14:val="tx1"/>
                  </w14:solidFill>
                </w14:textFill>
              </w:rPr>
            </w:pPr>
          </w:p>
        </w:tc>
      </w:tr>
      <w:tr w14:paraId="1071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59FEC332">
            <w:pPr>
              <w:jc w:val="left"/>
              <w:rPr>
                <w:rFonts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服务时间</w:t>
            </w:r>
          </w:p>
        </w:tc>
        <w:tc>
          <w:tcPr>
            <w:tcW w:w="6298" w:type="dxa"/>
            <w:vAlign w:val="center"/>
          </w:tcPr>
          <w:p w14:paraId="40D1B5FD">
            <w:pPr>
              <w:jc w:val="left"/>
              <w:rPr>
                <w:rFonts w:ascii="仿宋" w:hAnsi="仿宋" w:eastAsia="仿宋" w:cs="Times New Roman"/>
                <w:color w:val="000000" w:themeColor="text1"/>
                <w:sz w:val="32"/>
                <w:szCs w:val="32"/>
                <w14:textFill>
                  <w14:solidFill>
                    <w14:schemeClr w14:val="tx1"/>
                  </w14:solidFill>
                </w14:textFill>
              </w:rPr>
            </w:pPr>
          </w:p>
        </w:tc>
      </w:tr>
      <w:tr w14:paraId="6F16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8296" w:type="dxa"/>
            <w:gridSpan w:val="2"/>
          </w:tcPr>
          <w:p w14:paraId="1FB1845B">
            <w:pPr>
              <w:spacing w:before="156" w:beforeLines="50"/>
              <w:jc w:val="left"/>
              <w:rPr>
                <w:rFonts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服务内容：</w:t>
            </w:r>
          </w:p>
          <w:p w14:paraId="27D542A9">
            <w:pPr>
              <w:jc w:val="right"/>
              <w:rPr>
                <w:rFonts w:ascii="仿宋" w:hAnsi="仿宋" w:eastAsia="仿宋" w:cs="Times New Roman"/>
                <w:color w:val="000000" w:themeColor="text1"/>
                <w:sz w:val="24"/>
                <w14:textFill>
                  <w14:solidFill>
                    <w14:schemeClr w14:val="tx1"/>
                  </w14:solidFill>
                </w14:textFill>
              </w:rPr>
            </w:pPr>
          </w:p>
          <w:p w14:paraId="15D6D700">
            <w:pPr>
              <w:jc w:val="right"/>
              <w:rPr>
                <w:rFonts w:ascii="仿宋" w:hAnsi="仿宋" w:eastAsia="仿宋" w:cs="Times New Roman"/>
                <w:color w:val="000000" w:themeColor="text1"/>
                <w:sz w:val="24"/>
                <w14:textFill>
                  <w14:solidFill>
                    <w14:schemeClr w14:val="tx1"/>
                  </w14:solidFill>
                </w14:textFill>
              </w:rPr>
            </w:pPr>
          </w:p>
          <w:p w14:paraId="17AC1670">
            <w:pPr>
              <w:jc w:val="right"/>
              <w:rPr>
                <w:rFonts w:ascii="仿宋" w:hAnsi="仿宋" w:eastAsia="仿宋" w:cs="Times New Roman"/>
                <w:color w:val="000000" w:themeColor="text1"/>
                <w:sz w:val="24"/>
                <w14:textFill>
                  <w14:solidFill>
                    <w14:schemeClr w14:val="tx1"/>
                  </w14:solidFill>
                </w14:textFill>
              </w:rPr>
            </w:pPr>
          </w:p>
          <w:p w14:paraId="045145E3">
            <w:pPr>
              <w:jc w:val="right"/>
              <w:rPr>
                <w:rFonts w:ascii="仿宋" w:hAnsi="仿宋" w:eastAsia="仿宋" w:cs="Times New Roman"/>
                <w:color w:val="000000" w:themeColor="text1"/>
                <w:sz w:val="24"/>
                <w14:textFill>
                  <w14:solidFill>
                    <w14:schemeClr w14:val="tx1"/>
                  </w14:solidFill>
                </w14:textFill>
              </w:rPr>
            </w:pPr>
          </w:p>
          <w:p w14:paraId="4692892F">
            <w:pPr>
              <w:ind w:right="960"/>
              <w:rPr>
                <w:rFonts w:ascii="仿宋" w:hAnsi="仿宋" w:eastAsia="仿宋" w:cs="Times New Roman"/>
                <w:color w:val="000000" w:themeColor="text1"/>
                <w:sz w:val="24"/>
                <w14:textFill>
                  <w14:solidFill>
                    <w14:schemeClr w14:val="tx1"/>
                  </w14:solidFill>
                </w14:textFill>
              </w:rPr>
            </w:pPr>
          </w:p>
          <w:p w14:paraId="7C759836">
            <w:pPr>
              <w:spacing w:after="156" w:afterLines="50"/>
              <w:jc w:val="right"/>
              <w:rPr>
                <w:rFonts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 xml:space="preserve">年 </w:t>
            </w:r>
            <w:r>
              <w:rPr>
                <w:rFonts w:ascii="仿宋" w:hAnsi="仿宋" w:eastAsia="仿宋" w:cs="Times New Roman"/>
                <w:color w:val="000000" w:themeColor="text1"/>
                <w:sz w:val="24"/>
                <w14:textFill>
                  <w14:solidFill>
                    <w14:schemeClr w14:val="tx1"/>
                  </w14:solidFill>
                </w14:textFill>
              </w:rPr>
              <w:t xml:space="preserve"> </w:t>
            </w:r>
            <w:r>
              <w:rPr>
                <w:rFonts w:hint="eastAsia" w:ascii="仿宋" w:hAnsi="仿宋" w:eastAsia="仿宋" w:cs="Times New Roman"/>
                <w:color w:val="000000" w:themeColor="text1"/>
                <w:sz w:val="24"/>
                <w14:textFill>
                  <w14:solidFill>
                    <w14:schemeClr w14:val="tx1"/>
                  </w14:solidFill>
                </w14:textFill>
              </w:rPr>
              <w:t xml:space="preserve">月 </w:t>
            </w:r>
            <w:r>
              <w:rPr>
                <w:rFonts w:ascii="仿宋" w:hAnsi="仿宋" w:eastAsia="仿宋" w:cs="Times New Roman"/>
                <w:color w:val="000000" w:themeColor="text1"/>
                <w:sz w:val="24"/>
                <w14:textFill>
                  <w14:solidFill>
                    <w14:schemeClr w14:val="tx1"/>
                  </w14:solidFill>
                </w14:textFill>
              </w:rPr>
              <w:t xml:space="preserve"> </w:t>
            </w:r>
            <w:r>
              <w:rPr>
                <w:rFonts w:hint="eastAsia" w:ascii="仿宋" w:hAnsi="仿宋" w:eastAsia="仿宋" w:cs="Times New Roman"/>
                <w:color w:val="000000" w:themeColor="text1"/>
                <w:sz w:val="24"/>
                <w14:textFill>
                  <w14:solidFill>
                    <w14:schemeClr w14:val="tx1"/>
                  </w14:solidFill>
                </w14:textFill>
              </w:rPr>
              <w:t>日</w:t>
            </w:r>
          </w:p>
        </w:tc>
      </w:tr>
      <w:tr w14:paraId="0BB6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8296" w:type="dxa"/>
            <w:gridSpan w:val="2"/>
          </w:tcPr>
          <w:p w14:paraId="17B3BC2B">
            <w:pPr>
              <w:spacing w:before="156" w:beforeLines="50"/>
              <w:jc w:val="left"/>
              <w:rPr>
                <w:rFonts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服务确认：</w:t>
            </w:r>
          </w:p>
          <w:p w14:paraId="00E618F5">
            <w:pPr>
              <w:jc w:val="left"/>
              <w:rPr>
                <w:rFonts w:ascii="仿宋" w:hAnsi="仿宋" w:eastAsia="仿宋" w:cs="Times New Roman"/>
                <w:color w:val="000000" w:themeColor="text1"/>
                <w:sz w:val="24"/>
                <w14:textFill>
                  <w14:solidFill>
                    <w14:schemeClr w14:val="tx1"/>
                  </w14:solidFill>
                </w14:textFill>
              </w:rPr>
            </w:pPr>
          </w:p>
          <w:p w14:paraId="6D73017F">
            <w:pPr>
              <w:jc w:val="right"/>
              <w:rPr>
                <w:rFonts w:ascii="仿宋" w:hAnsi="仿宋" w:eastAsia="仿宋" w:cs="Times New Roman"/>
                <w:color w:val="000000" w:themeColor="text1"/>
                <w:sz w:val="24"/>
                <w14:textFill>
                  <w14:solidFill>
                    <w14:schemeClr w14:val="tx1"/>
                  </w14:solidFill>
                </w14:textFill>
              </w:rPr>
            </w:pPr>
          </w:p>
          <w:p w14:paraId="74167944">
            <w:pPr>
              <w:ind w:right="960"/>
              <w:rPr>
                <w:rFonts w:ascii="仿宋" w:hAnsi="仿宋" w:eastAsia="仿宋" w:cs="Times New Roman"/>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 xml:space="preserve">  </w:t>
            </w:r>
          </w:p>
          <w:p w14:paraId="43F480F6">
            <w:pPr>
              <w:ind w:right="960"/>
              <w:rPr>
                <w:rFonts w:ascii="仿宋" w:hAnsi="仿宋" w:eastAsia="仿宋" w:cs="Times New Roman"/>
                <w:color w:val="000000" w:themeColor="text1"/>
                <w:sz w:val="24"/>
                <w14:textFill>
                  <w14:solidFill>
                    <w14:schemeClr w14:val="tx1"/>
                  </w14:solidFill>
                </w14:textFill>
              </w:rPr>
            </w:pPr>
          </w:p>
          <w:p w14:paraId="5C596645">
            <w:pPr>
              <w:spacing w:before="156" w:beforeLines="50"/>
              <w:jc w:val="right"/>
              <w:rPr>
                <w:rFonts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福建广电网络融媒体科技有限责任公司</w:t>
            </w:r>
          </w:p>
          <w:p w14:paraId="385289A7">
            <w:pPr>
              <w:spacing w:before="156" w:beforeLines="50"/>
              <w:jc w:val="right"/>
              <w:rPr>
                <w:rFonts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 xml:space="preserve">年 </w:t>
            </w:r>
            <w:r>
              <w:rPr>
                <w:rFonts w:ascii="仿宋" w:hAnsi="仿宋" w:eastAsia="仿宋" w:cs="Times New Roman"/>
                <w:color w:val="000000" w:themeColor="text1"/>
                <w:sz w:val="24"/>
                <w14:textFill>
                  <w14:solidFill>
                    <w14:schemeClr w14:val="tx1"/>
                  </w14:solidFill>
                </w14:textFill>
              </w:rPr>
              <w:t xml:space="preserve"> </w:t>
            </w:r>
            <w:r>
              <w:rPr>
                <w:rFonts w:hint="eastAsia" w:ascii="仿宋" w:hAnsi="仿宋" w:eastAsia="仿宋" w:cs="Times New Roman"/>
                <w:color w:val="000000" w:themeColor="text1"/>
                <w:sz w:val="24"/>
                <w14:textFill>
                  <w14:solidFill>
                    <w14:schemeClr w14:val="tx1"/>
                  </w14:solidFill>
                </w14:textFill>
              </w:rPr>
              <w:t xml:space="preserve">月 </w:t>
            </w:r>
            <w:r>
              <w:rPr>
                <w:rFonts w:ascii="仿宋" w:hAnsi="仿宋" w:eastAsia="仿宋" w:cs="Times New Roman"/>
                <w:color w:val="000000" w:themeColor="text1"/>
                <w:sz w:val="24"/>
                <w14:textFill>
                  <w14:solidFill>
                    <w14:schemeClr w14:val="tx1"/>
                  </w14:solidFill>
                </w14:textFill>
              </w:rPr>
              <w:t xml:space="preserve"> </w:t>
            </w:r>
            <w:r>
              <w:rPr>
                <w:rFonts w:hint="eastAsia" w:ascii="仿宋" w:hAnsi="仿宋" w:eastAsia="仿宋" w:cs="Times New Roman"/>
                <w:color w:val="000000" w:themeColor="text1"/>
                <w:sz w:val="24"/>
                <w14:textFill>
                  <w14:solidFill>
                    <w14:schemeClr w14:val="tx1"/>
                  </w14:solidFill>
                </w14:textFill>
              </w:rPr>
              <w:t>日</w:t>
            </w:r>
          </w:p>
        </w:tc>
      </w:tr>
    </w:tbl>
    <w:p w14:paraId="091BBEAB">
      <w:pPr>
        <w:rPr>
          <w:rFonts w:ascii="仿宋" w:hAnsi="仿宋" w:eastAsia="仿宋" w:cs="Times New Roman"/>
          <w:color w:val="000000" w:themeColor="text1"/>
          <w14:textFill>
            <w14:solidFill>
              <w14:schemeClr w14:val="tx1"/>
            </w14:solidFill>
          </w14:textFill>
        </w:rPr>
      </w:pPr>
    </w:p>
    <w:p w14:paraId="14B14B43">
      <w:pPr>
        <w:rPr>
          <w:rFonts w:ascii="仿宋_GB2312" w:hAnsi="仿宋_GB2312" w:eastAsia="仿宋_GB2312" w:cs="仿宋_GB2312"/>
          <w:color w:val="000000" w:themeColor="text1"/>
          <w:sz w:val="28"/>
          <w:szCs w:val="28"/>
          <w14:textFill>
            <w14:solidFill>
              <w14:schemeClr w14:val="tx1"/>
            </w14:solidFill>
          </w14:textFill>
        </w:rPr>
      </w:pPr>
    </w:p>
    <w:p w14:paraId="75AD78A7">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63DDC8DE">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4FD9C405">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57AA8803">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79E55813">
      <w:pPr>
        <w:widowControl/>
        <w:jc w:val="left"/>
        <w:rPr>
          <w:rFonts w:ascii="仿宋_GB2312" w:hAnsi="仿宋_GB2312" w:eastAsia="仿宋_GB2312" w:cs="仿宋_GB2312"/>
          <w:color w:val="000000" w:themeColor="text1"/>
          <w:sz w:val="28"/>
          <w:szCs w:val="28"/>
          <w14:textFill>
            <w14:solidFill>
              <w14:schemeClr w14:val="tx1"/>
            </w14:solidFill>
          </w14:textFill>
        </w:rPr>
      </w:pPr>
    </w:p>
    <w:p w14:paraId="5201D2AF">
      <w:pPr>
        <w:widowControl/>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4</w:t>
      </w:r>
    </w:p>
    <w:p w14:paraId="51E2C1E8">
      <w:pPr>
        <w:rPr>
          <w:color w:val="000000" w:themeColor="text1"/>
          <w14:textFill>
            <w14:solidFill>
              <w14:schemeClr w14:val="tx1"/>
            </w14:solidFill>
          </w14:textFill>
        </w:rPr>
      </w:pPr>
    </w:p>
    <w:tbl>
      <w:tblPr>
        <w:tblStyle w:val="18"/>
        <w:tblW w:w="11199"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09"/>
        <w:gridCol w:w="2410"/>
        <w:gridCol w:w="5103"/>
        <w:gridCol w:w="992"/>
      </w:tblGrid>
      <w:tr w14:paraId="3A0E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199" w:type="dxa"/>
            <w:gridSpan w:val="6"/>
            <w:vAlign w:val="center"/>
          </w:tcPr>
          <w:p w14:paraId="25E53D91">
            <w:pPr>
              <w:jc w:val="center"/>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月度考核表</w:t>
            </w:r>
          </w:p>
        </w:tc>
      </w:tr>
      <w:tr w14:paraId="37D8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199" w:type="dxa"/>
            <w:gridSpan w:val="6"/>
            <w:vAlign w:val="center"/>
          </w:tcPr>
          <w:p w14:paraId="2C2CE150">
            <w:pPr>
              <w:jc w:val="left"/>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合作公司：</w:t>
            </w:r>
          </w:p>
        </w:tc>
      </w:tr>
      <w:tr w14:paraId="5B6A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199" w:type="dxa"/>
            <w:gridSpan w:val="6"/>
            <w:vAlign w:val="center"/>
          </w:tcPr>
          <w:p w14:paraId="1C3ADE16">
            <w:pPr>
              <w:jc w:val="left"/>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考核月份：</w:t>
            </w:r>
          </w:p>
        </w:tc>
      </w:tr>
      <w:tr w14:paraId="59B4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199" w:type="dxa"/>
            <w:gridSpan w:val="6"/>
            <w:vAlign w:val="center"/>
          </w:tcPr>
          <w:p w14:paraId="48A7584B">
            <w:pPr>
              <w:jc w:val="center"/>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广网智融屏运营支撑方月度考核表</w:t>
            </w:r>
          </w:p>
        </w:tc>
      </w:tr>
      <w:tr w14:paraId="3F6C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9" w:type="dxa"/>
            <w:vAlign w:val="center"/>
          </w:tcPr>
          <w:p w14:paraId="4133B27D">
            <w:pPr>
              <w:jc w:val="center"/>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考核项</w:t>
            </w:r>
          </w:p>
        </w:tc>
        <w:tc>
          <w:tcPr>
            <w:tcW w:w="1276" w:type="dxa"/>
            <w:vAlign w:val="center"/>
          </w:tcPr>
          <w:p w14:paraId="53000621">
            <w:pPr>
              <w:jc w:val="center"/>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考核分类项</w:t>
            </w:r>
          </w:p>
        </w:tc>
        <w:tc>
          <w:tcPr>
            <w:tcW w:w="709" w:type="dxa"/>
            <w:vAlign w:val="center"/>
          </w:tcPr>
          <w:p w14:paraId="3DF75B4C">
            <w:pPr>
              <w:jc w:val="center"/>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分值</w:t>
            </w:r>
          </w:p>
        </w:tc>
        <w:tc>
          <w:tcPr>
            <w:tcW w:w="2410" w:type="dxa"/>
            <w:vAlign w:val="center"/>
          </w:tcPr>
          <w:p w14:paraId="4502B3AA">
            <w:pPr>
              <w:jc w:val="center"/>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定义</w:t>
            </w:r>
          </w:p>
        </w:tc>
        <w:tc>
          <w:tcPr>
            <w:tcW w:w="5103" w:type="dxa"/>
            <w:vAlign w:val="center"/>
          </w:tcPr>
          <w:p w14:paraId="307231F0">
            <w:pPr>
              <w:jc w:val="center"/>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评分标准</w:t>
            </w:r>
          </w:p>
        </w:tc>
        <w:tc>
          <w:tcPr>
            <w:tcW w:w="992" w:type="dxa"/>
            <w:vAlign w:val="center"/>
          </w:tcPr>
          <w:p w14:paraId="5A03559E">
            <w:pPr>
              <w:jc w:val="center"/>
              <w:rPr>
                <w:rFonts w:ascii="仿宋_GB2312" w:hAnsi="仿宋_GB2312" w:eastAsia="仿宋_GB2312"/>
                <w:b/>
                <w:bCs/>
                <w:color w:val="000000" w:themeColor="text1"/>
                <w:szCs w:val="21"/>
                <w14:textFill>
                  <w14:solidFill>
                    <w14:schemeClr w14:val="tx1"/>
                  </w14:solidFill>
                </w14:textFill>
              </w:rPr>
            </w:pPr>
            <w:r>
              <w:rPr>
                <w:rFonts w:hint="eastAsia" w:ascii="仿宋_GB2312" w:hAnsi="仿宋_GB2312" w:eastAsia="仿宋_GB2312"/>
                <w:b/>
                <w:bCs/>
                <w:color w:val="000000" w:themeColor="text1"/>
                <w:szCs w:val="21"/>
                <w14:textFill>
                  <w14:solidFill>
                    <w14:schemeClr w14:val="tx1"/>
                  </w14:solidFill>
                </w14:textFill>
              </w:rPr>
              <w:t>得分</w:t>
            </w:r>
          </w:p>
        </w:tc>
      </w:tr>
      <w:tr w14:paraId="7CBB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09" w:type="dxa"/>
            <w:vMerge w:val="restart"/>
            <w:vAlign w:val="center"/>
          </w:tcPr>
          <w:p w14:paraId="0BE6124E">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运营支撑方基本考核项</w:t>
            </w:r>
          </w:p>
        </w:tc>
        <w:tc>
          <w:tcPr>
            <w:tcW w:w="1276" w:type="dxa"/>
            <w:noWrap/>
            <w:vAlign w:val="center"/>
          </w:tcPr>
          <w:p w14:paraId="008B7626">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服务支撑能力</w:t>
            </w:r>
          </w:p>
        </w:tc>
        <w:tc>
          <w:tcPr>
            <w:tcW w:w="709" w:type="dxa"/>
            <w:vAlign w:val="center"/>
          </w:tcPr>
          <w:p w14:paraId="545E0EEE">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15</w:t>
            </w:r>
          </w:p>
        </w:tc>
        <w:tc>
          <w:tcPr>
            <w:tcW w:w="2410" w:type="dxa"/>
            <w:vAlign w:val="center"/>
          </w:tcPr>
          <w:p w14:paraId="24BA082B">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提供广网智融屏服务支撑，并不断优化迭代更新。</w:t>
            </w:r>
          </w:p>
        </w:tc>
        <w:tc>
          <w:tcPr>
            <w:tcW w:w="5103" w:type="dxa"/>
            <w:vAlign w:val="center"/>
          </w:tcPr>
          <w:p w14:paraId="656A3BAB">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出现故障后确认需备机的处理和修复时间：备机</w:t>
            </w:r>
            <w:r>
              <w:rPr>
                <w:rFonts w:ascii="仿宋_GB2312" w:hAnsi="仿宋_GB2312" w:eastAsia="仿宋_GB2312"/>
                <w:color w:val="000000" w:themeColor="text1"/>
                <w:szCs w:val="21"/>
                <w14:textFill>
                  <w14:solidFill>
                    <w14:schemeClr w14:val="tx1"/>
                  </w14:solidFill>
                </w14:textFill>
              </w:rPr>
              <w:t>SVIP客户24小时内发出，VIP客户48小时内发出，如超过时限，一次扣1分，以此类推，封顶15分。</w:t>
            </w:r>
          </w:p>
        </w:tc>
        <w:tc>
          <w:tcPr>
            <w:tcW w:w="992" w:type="dxa"/>
            <w:noWrap/>
            <w:vAlign w:val="center"/>
          </w:tcPr>
          <w:p w14:paraId="3ABE4608">
            <w:pPr>
              <w:jc w:val="center"/>
              <w:rPr>
                <w:rFonts w:ascii="仿宋_GB2312" w:hAnsi="仿宋_GB2312" w:eastAsia="仿宋_GB2312"/>
                <w:color w:val="000000" w:themeColor="text1"/>
                <w:szCs w:val="21"/>
                <w14:textFill>
                  <w14:solidFill>
                    <w14:schemeClr w14:val="tx1"/>
                  </w14:solidFill>
                </w14:textFill>
              </w:rPr>
            </w:pPr>
          </w:p>
        </w:tc>
      </w:tr>
      <w:tr w14:paraId="0048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709" w:type="dxa"/>
            <w:vMerge w:val="continue"/>
            <w:vAlign w:val="center"/>
          </w:tcPr>
          <w:p w14:paraId="2FFA0168">
            <w:pPr>
              <w:jc w:val="center"/>
              <w:rPr>
                <w:rFonts w:ascii="仿宋_GB2312" w:hAnsi="仿宋_GB2312" w:eastAsia="仿宋_GB2312"/>
                <w:color w:val="000000" w:themeColor="text1"/>
                <w:szCs w:val="21"/>
                <w14:textFill>
                  <w14:solidFill>
                    <w14:schemeClr w14:val="tx1"/>
                  </w14:solidFill>
                </w14:textFill>
              </w:rPr>
            </w:pPr>
          </w:p>
        </w:tc>
        <w:tc>
          <w:tcPr>
            <w:tcW w:w="1276" w:type="dxa"/>
            <w:noWrap/>
            <w:vAlign w:val="center"/>
          </w:tcPr>
          <w:p w14:paraId="124A6428">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日常运营能力</w:t>
            </w:r>
          </w:p>
        </w:tc>
        <w:tc>
          <w:tcPr>
            <w:tcW w:w="709" w:type="dxa"/>
            <w:vAlign w:val="center"/>
          </w:tcPr>
          <w:p w14:paraId="3AB1F371">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20</w:t>
            </w:r>
          </w:p>
        </w:tc>
        <w:tc>
          <w:tcPr>
            <w:tcW w:w="2410" w:type="dxa"/>
            <w:vAlign w:val="center"/>
          </w:tcPr>
          <w:p w14:paraId="3EADC1CE">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具备海报等内容策划、制作能力；配合甲方做好客户开发，并依据客户属性和内容排播等基本原则，做好内容更新和客户日常维护。</w:t>
            </w:r>
          </w:p>
        </w:tc>
        <w:tc>
          <w:tcPr>
            <w:tcW w:w="5103" w:type="dxa"/>
            <w:vAlign w:val="center"/>
          </w:tcPr>
          <w:p w14:paraId="149BC353">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按照《智融宣传服务规范》提供内容更新制作，制作、更新超过既定时间</w:t>
            </w:r>
            <w:r>
              <w:rPr>
                <w:rFonts w:ascii="仿宋_GB2312" w:hAnsi="仿宋_GB2312" w:eastAsia="仿宋_GB2312"/>
                <w:color w:val="000000" w:themeColor="text1"/>
                <w:szCs w:val="21"/>
                <w14:textFill>
                  <w14:solidFill>
                    <w14:schemeClr w14:val="tx1"/>
                  </w14:solidFill>
                </w14:textFill>
              </w:rPr>
              <w:t xml:space="preserve">24小时，每发生一次扣0.5分（以初次送审时间为准）；发送至客户群的排播计划表中，存在明显“文不对题”的内容，每发现一处扣0.5分；遗漏客户指定需求，能弥补到位的扣1分，无法弥补的扣3分，以此类推，封顶20分。                                                                                                                      </w:t>
            </w:r>
            <w:r>
              <w:rPr>
                <w:rFonts w:hint="eastAsia" w:ascii="仿宋_GB2312" w:hAnsi="仿宋_GB2312" w:eastAsia="仿宋_GB2312"/>
                <w:color w:val="000000" w:themeColor="text1"/>
                <w:szCs w:val="21"/>
                <w14:textFill>
                  <w14:solidFill>
                    <w14:schemeClr w14:val="tx1"/>
                  </w14:solidFill>
                </w14:textFill>
              </w:rPr>
              <w:t>备注：因融科提交素材不全、文案审核滞后、发布环节修改或滞后导致超时，不计入考核。</w:t>
            </w:r>
          </w:p>
        </w:tc>
        <w:tc>
          <w:tcPr>
            <w:tcW w:w="992" w:type="dxa"/>
            <w:noWrap/>
            <w:vAlign w:val="center"/>
          </w:tcPr>
          <w:p w14:paraId="5A3F1F4C">
            <w:pPr>
              <w:jc w:val="center"/>
              <w:rPr>
                <w:rFonts w:ascii="仿宋_GB2312" w:hAnsi="仿宋_GB2312" w:eastAsia="仿宋_GB2312"/>
                <w:color w:val="000000" w:themeColor="text1"/>
                <w:szCs w:val="21"/>
                <w14:textFill>
                  <w14:solidFill>
                    <w14:schemeClr w14:val="tx1"/>
                  </w14:solidFill>
                </w14:textFill>
              </w:rPr>
            </w:pPr>
          </w:p>
        </w:tc>
      </w:tr>
      <w:tr w14:paraId="1391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709" w:type="dxa"/>
            <w:vMerge w:val="continue"/>
            <w:vAlign w:val="center"/>
          </w:tcPr>
          <w:p w14:paraId="00DFFA53">
            <w:pPr>
              <w:jc w:val="center"/>
              <w:rPr>
                <w:rFonts w:ascii="仿宋_GB2312" w:hAnsi="仿宋_GB2312" w:eastAsia="仿宋_GB2312"/>
                <w:color w:val="000000" w:themeColor="text1"/>
                <w:szCs w:val="21"/>
                <w14:textFill>
                  <w14:solidFill>
                    <w14:schemeClr w14:val="tx1"/>
                  </w14:solidFill>
                </w14:textFill>
              </w:rPr>
            </w:pPr>
          </w:p>
        </w:tc>
        <w:tc>
          <w:tcPr>
            <w:tcW w:w="1276" w:type="dxa"/>
            <w:vAlign w:val="center"/>
          </w:tcPr>
          <w:p w14:paraId="6F8748D8">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推送更新频率</w:t>
            </w:r>
          </w:p>
        </w:tc>
        <w:tc>
          <w:tcPr>
            <w:tcW w:w="709" w:type="dxa"/>
            <w:vAlign w:val="center"/>
          </w:tcPr>
          <w:p w14:paraId="18BA1D85">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15</w:t>
            </w:r>
          </w:p>
        </w:tc>
        <w:tc>
          <w:tcPr>
            <w:tcW w:w="2410" w:type="dxa"/>
            <w:vAlign w:val="center"/>
          </w:tcPr>
          <w:p w14:paraId="2E9C557D">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常规排播每周一更新；有时效性的公共内容（含中央省委精神和区域行业内容）实时更新；专属内容，根据客户需求及时做好更新。</w:t>
            </w:r>
          </w:p>
        </w:tc>
        <w:tc>
          <w:tcPr>
            <w:tcW w:w="5103" w:type="dxa"/>
            <w:vAlign w:val="center"/>
          </w:tcPr>
          <w:p w14:paraId="48EC8B2B">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按照《智融服务规范》进行排播更新及推送，更新时间超过既定时间</w:t>
            </w:r>
            <w:r>
              <w:rPr>
                <w:rFonts w:ascii="仿宋_GB2312" w:hAnsi="仿宋_GB2312" w:eastAsia="仿宋_GB2312"/>
                <w:color w:val="000000" w:themeColor="text1"/>
                <w:szCs w:val="21"/>
                <w14:textFill>
                  <w14:solidFill>
                    <w14:schemeClr w14:val="tx1"/>
                  </w14:solidFill>
                </w14:textFill>
              </w:rPr>
              <w:t>48小时，每发生一次扣0.5分（以初次送审时间为准），以此类推，封顶15分。</w:t>
            </w:r>
          </w:p>
        </w:tc>
        <w:tc>
          <w:tcPr>
            <w:tcW w:w="992" w:type="dxa"/>
            <w:vAlign w:val="center"/>
          </w:tcPr>
          <w:p w14:paraId="6FE0CCA5">
            <w:pPr>
              <w:jc w:val="center"/>
              <w:rPr>
                <w:rFonts w:ascii="仿宋_GB2312" w:hAnsi="仿宋_GB2312" w:eastAsia="仿宋_GB2312"/>
                <w:color w:val="000000" w:themeColor="text1"/>
                <w:szCs w:val="21"/>
                <w14:textFill>
                  <w14:solidFill>
                    <w14:schemeClr w14:val="tx1"/>
                  </w14:solidFill>
                </w14:textFill>
              </w:rPr>
            </w:pPr>
          </w:p>
        </w:tc>
      </w:tr>
      <w:tr w14:paraId="3870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09" w:type="dxa"/>
            <w:vMerge w:val="continue"/>
            <w:vAlign w:val="center"/>
          </w:tcPr>
          <w:p w14:paraId="7610D735">
            <w:pPr>
              <w:jc w:val="center"/>
              <w:rPr>
                <w:rFonts w:ascii="仿宋_GB2312" w:hAnsi="仿宋_GB2312" w:eastAsia="仿宋_GB2312"/>
                <w:color w:val="000000" w:themeColor="text1"/>
                <w:szCs w:val="21"/>
                <w14:textFill>
                  <w14:solidFill>
                    <w14:schemeClr w14:val="tx1"/>
                  </w14:solidFill>
                </w14:textFill>
              </w:rPr>
            </w:pPr>
          </w:p>
        </w:tc>
        <w:tc>
          <w:tcPr>
            <w:tcW w:w="1276" w:type="dxa"/>
            <w:vMerge w:val="restart"/>
            <w:vAlign w:val="center"/>
          </w:tcPr>
          <w:p w14:paraId="5EFA4C8A">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内容准确性</w:t>
            </w:r>
          </w:p>
        </w:tc>
        <w:tc>
          <w:tcPr>
            <w:tcW w:w="709" w:type="dxa"/>
            <w:vMerge w:val="restart"/>
            <w:vAlign w:val="center"/>
          </w:tcPr>
          <w:p w14:paraId="78E66534">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20</w:t>
            </w:r>
          </w:p>
        </w:tc>
        <w:tc>
          <w:tcPr>
            <w:tcW w:w="2410" w:type="dxa"/>
            <w:vMerge w:val="restart"/>
            <w:vAlign w:val="center"/>
          </w:tcPr>
          <w:p w14:paraId="18A18AE5">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做好“三审三校”，确保内容准确无误。如果融科在发布环节发现错误，根据不同性质错误，进行相应扣分。</w:t>
            </w:r>
          </w:p>
        </w:tc>
        <w:tc>
          <w:tcPr>
            <w:tcW w:w="5103" w:type="dxa"/>
            <w:vAlign w:val="center"/>
          </w:tcPr>
          <w:p w14:paraId="29FBBB20">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【第一类差错】一般性差错，如资源中出现错别字、标点符号、数量单位缺失，二维码、图片、前后文表述不统一（如</w:t>
            </w:r>
            <w:r>
              <w:rPr>
                <w:rFonts w:ascii="仿宋_GB2312" w:hAnsi="仿宋_GB2312" w:eastAsia="仿宋_GB2312"/>
                <w:color w:val="000000" w:themeColor="text1"/>
                <w:szCs w:val="21"/>
                <w14:textFill>
                  <w14:solidFill>
                    <w14:schemeClr w14:val="tx1"/>
                  </w14:solidFill>
                </w14:textFill>
              </w:rPr>
              <w:t>12小时和24小时的表述不一致），及视频使用不匹配等差错。发生一次扣0.5分，以此类推，封顶15分。</w:t>
            </w:r>
            <w:r>
              <w:rPr>
                <w:rFonts w:ascii="仿宋_GB2312" w:hAnsi="仿宋_GB2312" w:eastAsia="仿宋_GB2312"/>
                <w:color w:val="000000" w:themeColor="text1"/>
                <w:szCs w:val="21"/>
                <w14:textFill>
                  <w14:solidFill>
                    <w14:schemeClr w14:val="tx1"/>
                  </w14:solidFill>
                </w14:textFill>
              </w:rPr>
              <w:br w:type="textWrapping"/>
            </w:r>
            <w:r>
              <w:rPr>
                <w:rFonts w:hint="eastAsia" w:ascii="仿宋_GB2312" w:hAnsi="仿宋_GB2312" w:eastAsia="仿宋_GB2312"/>
                <w:color w:val="000000" w:themeColor="text1"/>
                <w:szCs w:val="21"/>
                <w14:textFill>
                  <w14:solidFill>
                    <w14:schemeClr w14:val="tx1"/>
                  </w14:solidFill>
                </w14:textFill>
              </w:rPr>
              <w:t>备注：由融科提供的文案出现以上错误（错别字除外），不计入考核。</w:t>
            </w:r>
          </w:p>
        </w:tc>
        <w:tc>
          <w:tcPr>
            <w:tcW w:w="992" w:type="dxa"/>
            <w:vMerge w:val="restart"/>
            <w:vAlign w:val="center"/>
          </w:tcPr>
          <w:p w14:paraId="0DBF57AF">
            <w:pPr>
              <w:jc w:val="center"/>
              <w:rPr>
                <w:rFonts w:ascii="仿宋_GB2312" w:hAnsi="仿宋_GB2312" w:eastAsia="仿宋_GB2312"/>
                <w:color w:val="000000" w:themeColor="text1"/>
                <w:szCs w:val="21"/>
                <w14:textFill>
                  <w14:solidFill>
                    <w14:schemeClr w14:val="tx1"/>
                  </w14:solidFill>
                </w14:textFill>
              </w:rPr>
            </w:pPr>
          </w:p>
        </w:tc>
      </w:tr>
      <w:tr w14:paraId="2716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09" w:type="dxa"/>
            <w:vMerge w:val="continue"/>
            <w:vAlign w:val="center"/>
          </w:tcPr>
          <w:p w14:paraId="23D3DD47">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6127E34C">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1F5E8784">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6B55446C">
            <w:pPr>
              <w:jc w:val="left"/>
              <w:rPr>
                <w:rFonts w:ascii="仿宋_GB2312" w:hAnsi="仿宋_GB2312" w:eastAsia="仿宋_GB2312"/>
                <w:color w:val="000000" w:themeColor="text1"/>
                <w:szCs w:val="21"/>
                <w14:textFill>
                  <w14:solidFill>
                    <w14:schemeClr w14:val="tx1"/>
                  </w14:solidFill>
                </w14:textFill>
              </w:rPr>
            </w:pPr>
          </w:p>
        </w:tc>
        <w:tc>
          <w:tcPr>
            <w:tcW w:w="5103" w:type="dxa"/>
            <w:vAlign w:val="center"/>
          </w:tcPr>
          <w:p w14:paraId="20D23A90">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【第二类差错】表达性差错，如内容与原文不一致，语法错误、表述有误和影响表达的遗漏，但不造成负面影响的差错等。发生一次扣</w:t>
            </w:r>
            <w:r>
              <w:rPr>
                <w:rFonts w:ascii="仿宋_GB2312" w:hAnsi="仿宋_GB2312" w:eastAsia="仿宋_GB2312"/>
                <w:color w:val="000000" w:themeColor="text1"/>
                <w:szCs w:val="21"/>
                <w14:textFill>
                  <w14:solidFill>
                    <w14:schemeClr w14:val="tx1"/>
                  </w14:solidFill>
                </w14:textFill>
              </w:rPr>
              <w:t>1分，以此类推，封顶15分。</w:t>
            </w:r>
            <w:r>
              <w:rPr>
                <w:rFonts w:ascii="仿宋_GB2312" w:hAnsi="仿宋_GB2312" w:eastAsia="仿宋_GB2312"/>
                <w:color w:val="000000" w:themeColor="text1"/>
                <w:szCs w:val="21"/>
                <w14:textFill>
                  <w14:solidFill>
                    <w14:schemeClr w14:val="tx1"/>
                  </w14:solidFill>
                </w14:textFill>
              </w:rPr>
              <w:br w:type="textWrapping"/>
            </w:r>
            <w:r>
              <w:rPr>
                <w:rFonts w:hint="eastAsia" w:ascii="仿宋_GB2312" w:hAnsi="仿宋_GB2312" w:eastAsia="仿宋_GB2312"/>
                <w:color w:val="000000" w:themeColor="text1"/>
                <w:szCs w:val="21"/>
                <w14:textFill>
                  <w14:solidFill>
                    <w14:schemeClr w14:val="tx1"/>
                  </w14:solidFill>
                </w14:textFill>
              </w:rPr>
              <w:t>备注：出于文案优化考虑进行的修改，不计入考核。</w:t>
            </w:r>
          </w:p>
        </w:tc>
        <w:tc>
          <w:tcPr>
            <w:tcW w:w="992" w:type="dxa"/>
            <w:vMerge w:val="continue"/>
            <w:vAlign w:val="center"/>
          </w:tcPr>
          <w:p w14:paraId="66C6A1AA">
            <w:pPr>
              <w:jc w:val="center"/>
              <w:rPr>
                <w:rFonts w:ascii="仿宋_GB2312" w:hAnsi="仿宋_GB2312" w:eastAsia="仿宋_GB2312"/>
                <w:color w:val="000000" w:themeColor="text1"/>
                <w:szCs w:val="21"/>
                <w14:textFill>
                  <w14:solidFill>
                    <w14:schemeClr w14:val="tx1"/>
                  </w14:solidFill>
                </w14:textFill>
              </w:rPr>
            </w:pPr>
          </w:p>
        </w:tc>
      </w:tr>
      <w:tr w14:paraId="4415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09" w:type="dxa"/>
            <w:vMerge w:val="continue"/>
            <w:vAlign w:val="center"/>
          </w:tcPr>
          <w:p w14:paraId="2E54F1F9">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1D3AD913">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54B6771E">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2B00648A">
            <w:pPr>
              <w:jc w:val="left"/>
              <w:rPr>
                <w:rFonts w:ascii="仿宋_GB2312" w:hAnsi="仿宋_GB2312" w:eastAsia="仿宋_GB2312"/>
                <w:color w:val="000000" w:themeColor="text1"/>
                <w:szCs w:val="21"/>
                <w14:textFill>
                  <w14:solidFill>
                    <w14:schemeClr w14:val="tx1"/>
                  </w14:solidFill>
                </w14:textFill>
              </w:rPr>
            </w:pPr>
          </w:p>
        </w:tc>
        <w:tc>
          <w:tcPr>
            <w:tcW w:w="5103" w:type="dxa"/>
            <w:vAlign w:val="center"/>
          </w:tcPr>
          <w:p w14:paraId="77F9E4FD">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【第三类差错】明显缺陷差错，如政策性表述有误，时政元素出现差错或一般性的高级黑、低级红的差错，崇洋媚外等。发生一次扣</w:t>
            </w:r>
            <w:r>
              <w:rPr>
                <w:rFonts w:ascii="仿宋_GB2312" w:hAnsi="仿宋_GB2312" w:eastAsia="仿宋_GB2312"/>
                <w:color w:val="000000" w:themeColor="text1"/>
                <w:szCs w:val="21"/>
                <w14:textFill>
                  <w14:solidFill>
                    <w14:schemeClr w14:val="tx1"/>
                  </w14:solidFill>
                </w14:textFill>
              </w:rPr>
              <w:t>2分，以此类推，封顶15分。</w:t>
            </w:r>
            <w:r>
              <w:rPr>
                <w:rFonts w:ascii="仿宋_GB2312" w:hAnsi="仿宋_GB2312" w:eastAsia="仿宋_GB2312"/>
                <w:color w:val="000000" w:themeColor="text1"/>
                <w:szCs w:val="21"/>
                <w14:textFill>
                  <w14:solidFill>
                    <w14:schemeClr w14:val="tx1"/>
                  </w14:solidFill>
                </w14:textFill>
              </w:rPr>
              <w:br w:type="textWrapping"/>
            </w:r>
            <w:r>
              <w:rPr>
                <w:rFonts w:hint="eastAsia" w:ascii="仿宋_GB2312" w:hAnsi="仿宋_GB2312" w:eastAsia="仿宋_GB2312"/>
                <w:color w:val="000000" w:themeColor="text1"/>
                <w:szCs w:val="21"/>
                <w14:textFill>
                  <w14:solidFill>
                    <w14:schemeClr w14:val="tx1"/>
                  </w14:solidFill>
                </w14:textFill>
              </w:rPr>
              <w:t>备注：补充系列标签或完善标题的修改，不计入考核。</w:t>
            </w:r>
          </w:p>
        </w:tc>
        <w:tc>
          <w:tcPr>
            <w:tcW w:w="992" w:type="dxa"/>
            <w:vMerge w:val="continue"/>
            <w:vAlign w:val="center"/>
          </w:tcPr>
          <w:p w14:paraId="52045342">
            <w:pPr>
              <w:jc w:val="center"/>
              <w:rPr>
                <w:rFonts w:ascii="仿宋_GB2312" w:hAnsi="仿宋_GB2312" w:eastAsia="仿宋_GB2312"/>
                <w:color w:val="000000" w:themeColor="text1"/>
                <w:szCs w:val="21"/>
                <w14:textFill>
                  <w14:solidFill>
                    <w14:schemeClr w14:val="tx1"/>
                  </w14:solidFill>
                </w14:textFill>
              </w:rPr>
            </w:pPr>
          </w:p>
        </w:tc>
      </w:tr>
      <w:tr w14:paraId="57F2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09" w:type="dxa"/>
            <w:vMerge w:val="continue"/>
            <w:vAlign w:val="center"/>
          </w:tcPr>
          <w:p w14:paraId="4B0E08F0">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5FC2880C">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18CE106D">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2684AA5C">
            <w:pPr>
              <w:jc w:val="left"/>
              <w:rPr>
                <w:rFonts w:ascii="仿宋_GB2312" w:hAnsi="仿宋_GB2312" w:eastAsia="仿宋_GB2312"/>
                <w:color w:val="000000" w:themeColor="text1"/>
                <w:szCs w:val="21"/>
                <w14:textFill>
                  <w14:solidFill>
                    <w14:schemeClr w14:val="tx1"/>
                  </w14:solidFill>
                </w14:textFill>
              </w:rPr>
            </w:pPr>
          </w:p>
        </w:tc>
        <w:tc>
          <w:tcPr>
            <w:tcW w:w="5103" w:type="dxa"/>
            <w:vAlign w:val="center"/>
          </w:tcPr>
          <w:p w14:paraId="171D5D17">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【第四类差错】重大差错，如导向问题等政治性差错或其他造成较大负面影响的差错，严重的高级黑、低级红等。发生一次扣</w:t>
            </w:r>
            <w:r>
              <w:rPr>
                <w:rFonts w:ascii="仿宋_GB2312" w:hAnsi="仿宋_GB2312" w:eastAsia="仿宋_GB2312"/>
                <w:color w:val="000000" w:themeColor="text1"/>
                <w:szCs w:val="21"/>
                <w14:textFill>
                  <w14:solidFill>
                    <w14:schemeClr w14:val="tx1"/>
                  </w14:solidFill>
                </w14:textFill>
              </w:rPr>
              <w:t>5分，以此类推，封顶15分。</w:t>
            </w:r>
          </w:p>
        </w:tc>
        <w:tc>
          <w:tcPr>
            <w:tcW w:w="992" w:type="dxa"/>
            <w:vAlign w:val="center"/>
          </w:tcPr>
          <w:p w14:paraId="7A55160D">
            <w:pPr>
              <w:jc w:val="center"/>
              <w:rPr>
                <w:rFonts w:ascii="仿宋_GB2312" w:hAnsi="仿宋_GB2312" w:eastAsia="仿宋_GB2312"/>
                <w:color w:val="000000" w:themeColor="text1"/>
                <w:szCs w:val="21"/>
                <w14:textFill>
                  <w14:solidFill>
                    <w14:schemeClr w14:val="tx1"/>
                  </w14:solidFill>
                </w14:textFill>
              </w:rPr>
            </w:pPr>
          </w:p>
        </w:tc>
      </w:tr>
      <w:tr w14:paraId="703A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09" w:type="dxa"/>
            <w:vMerge w:val="continue"/>
            <w:vAlign w:val="center"/>
          </w:tcPr>
          <w:p w14:paraId="08A581B8">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7CCF977F">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3112B78A">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0478A745">
            <w:pPr>
              <w:jc w:val="left"/>
              <w:rPr>
                <w:rFonts w:ascii="仿宋_GB2312" w:hAnsi="仿宋_GB2312" w:eastAsia="仿宋_GB2312"/>
                <w:color w:val="000000" w:themeColor="text1"/>
                <w:szCs w:val="21"/>
                <w14:textFill>
                  <w14:solidFill>
                    <w14:schemeClr w14:val="tx1"/>
                  </w14:solidFill>
                </w14:textFill>
              </w:rPr>
            </w:pPr>
          </w:p>
        </w:tc>
        <w:tc>
          <w:tcPr>
            <w:tcW w:w="5103" w:type="dxa"/>
            <w:vAlign w:val="center"/>
          </w:tcPr>
          <w:p w14:paraId="3E29CC89">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【客户对稿环节发现差错】错字、漏字，设计元素、二维码及内容等与原文不一致，语法错误，政策性表述错误等影响客户体验感的差错，发生一次每张海报扣</w:t>
            </w:r>
            <w:r>
              <w:rPr>
                <w:rFonts w:ascii="仿宋_GB2312" w:hAnsi="仿宋_GB2312" w:eastAsia="仿宋_GB2312"/>
                <w:color w:val="000000" w:themeColor="text1"/>
                <w:szCs w:val="21"/>
                <w14:textFill>
                  <w14:solidFill>
                    <w14:schemeClr w14:val="tx1"/>
                  </w14:solidFill>
                </w14:textFill>
              </w:rPr>
              <w:t>1分。时政元素及内容出现差错，每发生一次每张海报扣2分，以此类推。</w:t>
            </w:r>
          </w:p>
          <w:p w14:paraId="2627BFCB">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备注：出于海报优化考虑进行的调整、修改，不计入考核。</w:t>
            </w:r>
          </w:p>
        </w:tc>
        <w:tc>
          <w:tcPr>
            <w:tcW w:w="992" w:type="dxa"/>
            <w:vAlign w:val="center"/>
          </w:tcPr>
          <w:p w14:paraId="6BBDF5BA">
            <w:pPr>
              <w:jc w:val="center"/>
              <w:rPr>
                <w:rFonts w:ascii="仿宋_GB2312" w:hAnsi="仿宋_GB2312" w:eastAsia="仿宋_GB2312"/>
                <w:color w:val="000000" w:themeColor="text1"/>
                <w:szCs w:val="21"/>
                <w14:textFill>
                  <w14:solidFill>
                    <w14:schemeClr w14:val="tx1"/>
                  </w14:solidFill>
                </w14:textFill>
              </w:rPr>
            </w:pPr>
          </w:p>
        </w:tc>
      </w:tr>
      <w:tr w14:paraId="39CF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09" w:type="dxa"/>
            <w:vMerge w:val="continue"/>
            <w:vAlign w:val="center"/>
          </w:tcPr>
          <w:p w14:paraId="5AB23C29">
            <w:pPr>
              <w:jc w:val="center"/>
              <w:rPr>
                <w:rFonts w:ascii="仿宋_GB2312" w:hAnsi="仿宋_GB2312" w:eastAsia="仿宋_GB2312"/>
                <w:color w:val="000000" w:themeColor="text1"/>
                <w:szCs w:val="21"/>
                <w14:textFill>
                  <w14:solidFill>
                    <w14:schemeClr w14:val="tx1"/>
                  </w14:solidFill>
                </w14:textFill>
              </w:rPr>
            </w:pPr>
          </w:p>
        </w:tc>
        <w:tc>
          <w:tcPr>
            <w:tcW w:w="1276" w:type="dxa"/>
            <w:vAlign w:val="center"/>
          </w:tcPr>
          <w:p w14:paraId="774A3F0A">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内容更新频率</w:t>
            </w:r>
          </w:p>
        </w:tc>
        <w:tc>
          <w:tcPr>
            <w:tcW w:w="709" w:type="dxa"/>
            <w:vAlign w:val="center"/>
          </w:tcPr>
          <w:p w14:paraId="4362DC5E">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10</w:t>
            </w:r>
          </w:p>
        </w:tc>
        <w:tc>
          <w:tcPr>
            <w:tcW w:w="2410" w:type="dxa"/>
            <w:vAlign w:val="center"/>
          </w:tcPr>
          <w:p w14:paraId="27D8584E">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提供内容策划方案并具体实施，包括围绕重要时间节点，做好常态性策划；紧跟最新中央和省委精神，及时做好策划更新；根据地域和行业属性，做好相关内容策划。</w:t>
            </w:r>
          </w:p>
        </w:tc>
        <w:tc>
          <w:tcPr>
            <w:tcW w:w="5103" w:type="dxa"/>
            <w:vAlign w:val="center"/>
          </w:tcPr>
          <w:p w14:paraId="2382D0B6">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每月内容策划有效条数不低于</w:t>
            </w:r>
            <w:r>
              <w:rPr>
                <w:rFonts w:ascii="仿宋_GB2312" w:hAnsi="仿宋_GB2312" w:eastAsia="仿宋_GB2312"/>
                <w:color w:val="000000" w:themeColor="text1"/>
                <w:szCs w:val="21"/>
                <w14:textFill>
                  <w14:solidFill>
                    <w14:schemeClr w14:val="tx1"/>
                  </w14:solidFill>
                </w14:textFill>
              </w:rPr>
              <w:t>15条，每少一条扣1分，以此类推，封顶10分。</w:t>
            </w:r>
            <w:r>
              <w:rPr>
                <w:rFonts w:ascii="仿宋_GB2312" w:hAnsi="仿宋_GB2312" w:eastAsia="仿宋_GB2312"/>
                <w:color w:val="000000" w:themeColor="text1"/>
                <w:szCs w:val="21"/>
                <w14:textFill>
                  <w14:solidFill>
                    <w14:schemeClr w14:val="tx1"/>
                  </w14:solidFill>
                </w14:textFill>
              </w:rPr>
              <w:br w:type="textWrapping"/>
            </w:r>
            <w:r>
              <w:rPr>
                <w:rFonts w:hint="eastAsia" w:ascii="仿宋_GB2312" w:hAnsi="仿宋_GB2312" w:eastAsia="仿宋_GB2312"/>
                <w:color w:val="000000" w:themeColor="text1"/>
                <w:szCs w:val="21"/>
                <w14:textFill>
                  <w14:solidFill>
                    <w14:schemeClr w14:val="tx1"/>
                  </w14:solidFill>
                </w14:textFill>
              </w:rPr>
              <w:t>备注：节日节气、时政微周刊（总书记的一周）、时政微观察，不计入策划考核。</w:t>
            </w:r>
          </w:p>
        </w:tc>
        <w:tc>
          <w:tcPr>
            <w:tcW w:w="992" w:type="dxa"/>
            <w:vAlign w:val="center"/>
          </w:tcPr>
          <w:p w14:paraId="1C1E9E30">
            <w:pPr>
              <w:jc w:val="center"/>
              <w:rPr>
                <w:rFonts w:ascii="仿宋_GB2312" w:hAnsi="仿宋_GB2312" w:eastAsia="仿宋_GB2312"/>
                <w:color w:val="000000" w:themeColor="text1"/>
                <w:szCs w:val="21"/>
                <w14:textFill>
                  <w14:solidFill>
                    <w14:schemeClr w14:val="tx1"/>
                  </w14:solidFill>
                </w14:textFill>
              </w:rPr>
            </w:pPr>
          </w:p>
        </w:tc>
      </w:tr>
      <w:tr w14:paraId="1AD9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14:paraId="4A84692A">
            <w:pPr>
              <w:jc w:val="center"/>
              <w:rPr>
                <w:rFonts w:ascii="仿宋_GB2312" w:hAnsi="仿宋_GB2312" w:eastAsia="仿宋_GB2312"/>
                <w:color w:val="000000" w:themeColor="text1"/>
                <w:szCs w:val="21"/>
                <w14:textFill>
                  <w14:solidFill>
                    <w14:schemeClr w14:val="tx1"/>
                  </w14:solidFill>
                </w14:textFill>
              </w:rPr>
            </w:pPr>
          </w:p>
        </w:tc>
        <w:tc>
          <w:tcPr>
            <w:tcW w:w="1276" w:type="dxa"/>
            <w:vMerge w:val="restart"/>
            <w:vAlign w:val="center"/>
          </w:tcPr>
          <w:p w14:paraId="602A04F4">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数据分析能力</w:t>
            </w:r>
          </w:p>
        </w:tc>
        <w:tc>
          <w:tcPr>
            <w:tcW w:w="709" w:type="dxa"/>
            <w:vMerge w:val="restart"/>
            <w:vAlign w:val="center"/>
          </w:tcPr>
          <w:p w14:paraId="0CF40CE3">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10</w:t>
            </w:r>
          </w:p>
        </w:tc>
        <w:tc>
          <w:tcPr>
            <w:tcW w:w="2410" w:type="dxa"/>
            <w:vMerge w:val="restart"/>
            <w:vAlign w:val="center"/>
          </w:tcPr>
          <w:p w14:paraId="19D3F710">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配合甲方针对用户画像、行为数据、订购数据等维度进行周、月、年度的分析挖掘，按时递交周、月、季相关运营报告。</w:t>
            </w:r>
          </w:p>
        </w:tc>
        <w:tc>
          <w:tcPr>
            <w:tcW w:w="5103" w:type="dxa"/>
            <w:vMerge w:val="restart"/>
            <w:vAlign w:val="center"/>
          </w:tcPr>
          <w:p w14:paraId="3FB5924F">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运营按照既定模板和时间要求，提交运营周报、月报和季报超过</w:t>
            </w:r>
            <w:r>
              <w:rPr>
                <w:rFonts w:ascii="仿宋_GB2312" w:hAnsi="仿宋_GB2312" w:eastAsia="仿宋_GB2312"/>
                <w:color w:val="000000" w:themeColor="text1"/>
                <w:szCs w:val="21"/>
                <w14:textFill>
                  <w14:solidFill>
                    <w14:schemeClr w14:val="tx1"/>
                  </w14:solidFill>
                </w14:textFill>
              </w:rPr>
              <w:t>24小时，每延迟一次扣0.5分，以此类推，封顶10分。</w:t>
            </w:r>
          </w:p>
        </w:tc>
        <w:tc>
          <w:tcPr>
            <w:tcW w:w="992" w:type="dxa"/>
            <w:vMerge w:val="restart"/>
            <w:noWrap/>
            <w:vAlign w:val="center"/>
          </w:tcPr>
          <w:p w14:paraId="40C5B9F8">
            <w:pPr>
              <w:jc w:val="center"/>
              <w:rPr>
                <w:rFonts w:ascii="仿宋_GB2312" w:hAnsi="仿宋_GB2312" w:eastAsia="仿宋_GB2312"/>
                <w:color w:val="000000" w:themeColor="text1"/>
                <w:szCs w:val="21"/>
                <w14:textFill>
                  <w14:solidFill>
                    <w14:schemeClr w14:val="tx1"/>
                  </w14:solidFill>
                </w14:textFill>
              </w:rPr>
            </w:pPr>
          </w:p>
        </w:tc>
      </w:tr>
      <w:tr w14:paraId="4E2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1ECBD745">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32D53B9F">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6FD77FE6">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10E66FBA">
            <w:pPr>
              <w:jc w:val="left"/>
              <w:rPr>
                <w:rFonts w:ascii="仿宋_GB2312" w:hAnsi="仿宋_GB2312" w:eastAsia="仿宋_GB2312"/>
                <w:color w:val="000000" w:themeColor="text1"/>
                <w:szCs w:val="21"/>
                <w14:textFill>
                  <w14:solidFill>
                    <w14:schemeClr w14:val="tx1"/>
                  </w14:solidFill>
                </w14:textFill>
              </w:rPr>
            </w:pPr>
          </w:p>
        </w:tc>
        <w:tc>
          <w:tcPr>
            <w:tcW w:w="5103" w:type="dxa"/>
            <w:vMerge w:val="continue"/>
            <w:vAlign w:val="center"/>
          </w:tcPr>
          <w:p w14:paraId="44E92A99">
            <w:pPr>
              <w:jc w:val="left"/>
              <w:rPr>
                <w:rFonts w:ascii="仿宋_GB2312" w:hAnsi="仿宋_GB2312" w:eastAsia="仿宋_GB2312"/>
                <w:color w:val="000000" w:themeColor="text1"/>
                <w:szCs w:val="21"/>
                <w14:textFill>
                  <w14:solidFill>
                    <w14:schemeClr w14:val="tx1"/>
                  </w14:solidFill>
                </w14:textFill>
              </w:rPr>
            </w:pPr>
          </w:p>
        </w:tc>
        <w:tc>
          <w:tcPr>
            <w:tcW w:w="992" w:type="dxa"/>
            <w:vMerge w:val="continue"/>
            <w:vAlign w:val="center"/>
          </w:tcPr>
          <w:p w14:paraId="1E5BA4A7">
            <w:pPr>
              <w:jc w:val="center"/>
              <w:rPr>
                <w:rFonts w:ascii="仿宋_GB2312" w:hAnsi="仿宋_GB2312" w:eastAsia="仿宋_GB2312"/>
                <w:color w:val="000000" w:themeColor="text1"/>
                <w:szCs w:val="21"/>
                <w14:textFill>
                  <w14:solidFill>
                    <w14:schemeClr w14:val="tx1"/>
                  </w14:solidFill>
                </w14:textFill>
              </w:rPr>
            </w:pPr>
          </w:p>
        </w:tc>
      </w:tr>
      <w:tr w14:paraId="52F9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Merge w:val="continue"/>
            <w:vAlign w:val="center"/>
          </w:tcPr>
          <w:p w14:paraId="0294F973">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09886DE3">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4A2C94EA">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696E6DF8">
            <w:pPr>
              <w:jc w:val="left"/>
              <w:rPr>
                <w:rFonts w:ascii="仿宋_GB2312" w:hAnsi="仿宋_GB2312" w:eastAsia="仿宋_GB2312"/>
                <w:color w:val="000000" w:themeColor="text1"/>
                <w:szCs w:val="21"/>
                <w14:textFill>
                  <w14:solidFill>
                    <w14:schemeClr w14:val="tx1"/>
                  </w14:solidFill>
                </w14:textFill>
              </w:rPr>
            </w:pPr>
          </w:p>
        </w:tc>
        <w:tc>
          <w:tcPr>
            <w:tcW w:w="5103" w:type="dxa"/>
            <w:vMerge w:val="continue"/>
            <w:vAlign w:val="center"/>
          </w:tcPr>
          <w:p w14:paraId="3D326921">
            <w:pPr>
              <w:jc w:val="left"/>
              <w:rPr>
                <w:rFonts w:ascii="仿宋_GB2312" w:hAnsi="仿宋_GB2312" w:eastAsia="仿宋_GB2312"/>
                <w:color w:val="000000" w:themeColor="text1"/>
                <w:szCs w:val="21"/>
                <w14:textFill>
                  <w14:solidFill>
                    <w14:schemeClr w14:val="tx1"/>
                  </w14:solidFill>
                </w14:textFill>
              </w:rPr>
            </w:pPr>
          </w:p>
        </w:tc>
        <w:tc>
          <w:tcPr>
            <w:tcW w:w="992" w:type="dxa"/>
            <w:vMerge w:val="continue"/>
            <w:vAlign w:val="center"/>
          </w:tcPr>
          <w:p w14:paraId="17285B5B">
            <w:pPr>
              <w:jc w:val="center"/>
              <w:rPr>
                <w:rFonts w:ascii="仿宋_GB2312" w:hAnsi="仿宋_GB2312" w:eastAsia="仿宋_GB2312"/>
                <w:color w:val="000000" w:themeColor="text1"/>
                <w:szCs w:val="21"/>
                <w14:textFill>
                  <w14:solidFill>
                    <w14:schemeClr w14:val="tx1"/>
                  </w14:solidFill>
                </w14:textFill>
              </w:rPr>
            </w:pPr>
          </w:p>
        </w:tc>
      </w:tr>
      <w:tr w14:paraId="5355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vMerge w:val="continue"/>
            <w:vAlign w:val="center"/>
          </w:tcPr>
          <w:p w14:paraId="1DE9E68C">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7C88609B">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3837E878">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79507FBD">
            <w:pPr>
              <w:jc w:val="left"/>
              <w:rPr>
                <w:rFonts w:ascii="仿宋_GB2312" w:hAnsi="仿宋_GB2312" w:eastAsia="仿宋_GB2312"/>
                <w:color w:val="000000" w:themeColor="text1"/>
                <w:szCs w:val="21"/>
                <w14:textFill>
                  <w14:solidFill>
                    <w14:schemeClr w14:val="tx1"/>
                  </w14:solidFill>
                </w14:textFill>
              </w:rPr>
            </w:pPr>
          </w:p>
        </w:tc>
        <w:tc>
          <w:tcPr>
            <w:tcW w:w="5103" w:type="dxa"/>
            <w:vMerge w:val="continue"/>
            <w:vAlign w:val="center"/>
          </w:tcPr>
          <w:p w14:paraId="36992CEC">
            <w:pPr>
              <w:jc w:val="left"/>
              <w:rPr>
                <w:rFonts w:ascii="仿宋_GB2312" w:hAnsi="仿宋_GB2312" w:eastAsia="仿宋_GB2312"/>
                <w:color w:val="000000" w:themeColor="text1"/>
                <w:szCs w:val="21"/>
                <w14:textFill>
                  <w14:solidFill>
                    <w14:schemeClr w14:val="tx1"/>
                  </w14:solidFill>
                </w14:textFill>
              </w:rPr>
            </w:pPr>
          </w:p>
        </w:tc>
        <w:tc>
          <w:tcPr>
            <w:tcW w:w="992" w:type="dxa"/>
            <w:vMerge w:val="continue"/>
            <w:vAlign w:val="center"/>
          </w:tcPr>
          <w:p w14:paraId="119E6409">
            <w:pPr>
              <w:jc w:val="center"/>
              <w:rPr>
                <w:rFonts w:ascii="仿宋_GB2312" w:hAnsi="仿宋_GB2312" w:eastAsia="仿宋_GB2312"/>
                <w:color w:val="000000" w:themeColor="text1"/>
                <w:szCs w:val="21"/>
                <w14:textFill>
                  <w14:solidFill>
                    <w14:schemeClr w14:val="tx1"/>
                  </w14:solidFill>
                </w14:textFill>
              </w:rPr>
            </w:pPr>
          </w:p>
        </w:tc>
      </w:tr>
      <w:tr w14:paraId="36D8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Merge w:val="continue"/>
            <w:vAlign w:val="center"/>
          </w:tcPr>
          <w:p w14:paraId="6919C0E8">
            <w:pPr>
              <w:jc w:val="center"/>
              <w:rPr>
                <w:rFonts w:ascii="仿宋_GB2312" w:hAnsi="仿宋_GB2312" w:eastAsia="仿宋_GB2312"/>
                <w:color w:val="000000" w:themeColor="text1"/>
                <w:szCs w:val="21"/>
                <w14:textFill>
                  <w14:solidFill>
                    <w14:schemeClr w14:val="tx1"/>
                  </w14:solidFill>
                </w14:textFill>
              </w:rPr>
            </w:pPr>
          </w:p>
        </w:tc>
        <w:tc>
          <w:tcPr>
            <w:tcW w:w="1276" w:type="dxa"/>
            <w:vMerge w:val="restart"/>
            <w:vAlign w:val="center"/>
          </w:tcPr>
          <w:p w14:paraId="30728F31">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日常衔接配合度</w:t>
            </w:r>
          </w:p>
        </w:tc>
        <w:tc>
          <w:tcPr>
            <w:tcW w:w="709" w:type="dxa"/>
            <w:vMerge w:val="restart"/>
            <w:vAlign w:val="center"/>
          </w:tcPr>
          <w:p w14:paraId="707B0AA3">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10</w:t>
            </w:r>
          </w:p>
        </w:tc>
        <w:tc>
          <w:tcPr>
            <w:tcW w:w="2410" w:type="dxa"/>
            <w:vMerge w:val="restart"/>
            <w:vAlign w:val="center"/>
          </w:tcPr>
          <w:p w14:paraId="2FB3742A">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配合融科做好内容策划、客户维护等日常工作。</w:t>
            </w:r>
          </w:p>
        </w:tc>
        <w:tc>
          <w:tcPr>
            <w:tcW w:w="5103" w:type="dxa"/>
            <w:vMerge w:val="restart"/>
            <w:vAlign w:val="center"/>
          </w:tcPr>
          <w:p w14:paraId="69382576">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按照《智融服务规范》提交需求和制作，遗漏制作需求，每出现一次扣</w:t>
            </w:r>
            <w:r>
              <w:rPr>
                <w:rFonts w:ascii="仿宋_GB2312" w:hAnsi="仿宋_GB2312" w:eastAsia="仿宋_GB2312"/>
                <w:color w:val="000000" w:themeColor="text1"/>
                <w:szCs w:val="21"/>
                <w14:textFill>
                  <w14:solidFill>
                    <w14:schemeClr w14:val="tx1"/>
                  </w14:solidFill>
                </w14:textFill>
              </w:rPr>
              <w:t>0.5分，以此类推，封顶10分。</w:t>
            </w:r>
          </w:p>
        </w:tc>
        <w:tc>
          <w:tcPr>
            <w:tcW w:w="992" w:type="dxa"/>
            <w:vMerge w:val="restart"/>
            <w:vAlign w:val="center"/>
          </w:tcPr>
          <w:p w14:paraId="316AC98D">
            <w:pPr>
              <w:jc w:val="center"/>
              <w:rPr>
                <w:rFonts w:ascii="仿宋_GB2312" w:hAnsi="仿宋_GB2312" w:eastAsia="仿宋_GB2312"/>
                <w:color w:val="000000" w:themeColor="text1"/>
                <w:szCs w:val="21"/>
                <w14:textFill>
                  <w14:solidFill>
                    <w14:schemeClr w14:val="tx1"/>
                  </w14:solidFill>
                </w14:textFill>
              </w:rPr>
            </w:pPr>
          </w:p>
        </w:tc>
      </w:tr>
      <w:tr w14:paraId="698D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9" w:type="dxa"/>
            <w:vMerge w:val="continue"/>
            <w:vAlign w:val="center"/>
          </w:tcPr>
          <w:p w14:paraId="27218765">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164CE143">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138E89FD">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543621E0">
            <w:pPr>
              <w:jc w:val="left"/>
              <w:rPr>
                <w:rFonts w:ascii="仿宋_GB2312" w:hAnsi="仿宋_GB2312" w:eastAsia="仿宋_GB2312"/>
                <w:color w:val="000000" w:themeColor="text1"/>
                <w:szCs w:val="21"/>
                <w14:textFill>
                  <w14:solidFill>
                    <w14:schemeClr w14:val="tx1"/>
                  </w14:solidFill>
                </w14:textFill>
              </w:rPr>
            </w:pPr>
          </w:p>
        </w:tc>
        <w:tc>
          <w:tcPr>
            <w:tcW w:w="5103" w:type="dxa"/>
            <w:vMerge w:val="continue"/>
            <w:vAlign w:val="center"/>
          </w:tcPr>
          <w:p w14:paraId="5AE60575">
            <w:pPr>
              <w:jc w:val="left"/>
              <w:rPr>
                <w:rFonts w:ascii="仿宋_GB2312" w:hAnsi="仿宋_GB2312" w:eastAsia="仿宋_GB2312"/>
                <w:color w:val="000000" w:themeColor="text1"/>
                <w:szCs w:val="21"/>
                <w14:textFill>
                  <w14:solidFill>
                    <w14:schemeClr w14:val="tx1"/>
                  </w14:solidFill>
                </w14:textFill>
              </w:rPr>
            </w:pPr>
          </w:p>
        </w:tc>
        <w:tc>
          <w:tcPr>
            <w:tcW w:w="992" w:type="dxa"/>
            <w:vMerge w:val="continue"/>
            <w:vAlign w:val="center"/>
          </w:tcPr>
          <w:p w14:paraId="4005FEC0">
            <w:pPr>
              <w:jc w:val="center"/>
              <w:rPr>
                <w:rFonts w:ascii="仿宋_GB2312" w:hAnsi="仿宋_GB2312" w:eastAsia="仿宋_GB2312"/>
                <w:color w:val="000000" w:themeColor="text1"/>
                <w:szCs w:val="21"/>
                <w14:textFill>
                  <w14:solidFill>
                    <w14:schemeClr w14:val="tx1"/>
                  </w14:solidFill>
                </w14:textFill>
              </w:rPr>
            </w:pPr>
          </w:p>
        </w:tc>
      </w:tr>
      <w:tr w14:paraId="1148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9" w:type="dxa"/>
            <w:vMerge w:val="continue"/>
            <w:vAlign w:val="center"/>
          </w:tcPr>
          <w:p w14:paraId="49D90400">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681DC6A8">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6FE767AB">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3B069451">
            <w:pPr>
              <w:jc w:val="left"/>
              <w:rPr>
                <w:rFonts w:ascii="仿宋_GB2312" w:hAnsi="仿宋_GB2312" w:eastAsia="仿宋_GB2312"/>
                <w:color w:val="000000" w:themeColor="text1"/>
                <w:szCs w:val="21"/>
                <w14:textFill>
                  <w14:solidFill>
                    <w14:schemeClr w14:val="tx1"/>
                  </w14:solidFill>
                </w14:textFill>
              </w:rPr>
            </w:pPr>
          </w:p>
        </w:tc>
        <w:tc>
          <w:tcPr>
            <w:tcW w:w="5103" w:type="dxa"/>
            <w:vMerge w:val="continue"/>
            <w:vAlign w:val="center"/>
          </w:tcPr>
          <w:p w14:paraId="19770BCE">
            <w:pPr>
              <w:jc w:val="left"/>
              <w:rPr>
                <w:rFonts w:ascii="仿宋_GB2312" w:hAnsi="仿宋_GB2312" w:eastAsia="仿宋_GB2312"/>
                <w:color w:val="000000" w:themeColor="text1"/>
                <w:szCs w:val="21"/>
                <w14:textFill>
                  <w14:solidFill>
                    <w14:schemeClr w14:val="tx1"/>
                  </w14:solidFill>
                </w14:textFill>
              </w:rPr>
            </w:pPr>
          </w:p>
        </w:tc>
        <w:tc>
          <w:tcPr>
            <w:tcW w:w="992" w:type="dxa"/>
            <w:vMerge w:val="continue"/>
            <w:vAlign w:val="center"/>
          </w:tcPr>
          <w:p w14:paraId="04A693A8">
            <w:pPr>
              <w:jc w:val="center"/>
              <w:rPr>
                <w:rFonts w:ascii="仿宋_GB2312" w:hAnsi="仿宋_GB2312" w:eastAsia="仿宋_GB2312"/>
                <w:color w:val="000000" w:themeColor="text1"/>
                <w:szCs w:val="21"/>
                <w14:textFill>
                  <w14:solidFill>
                    <w14:schemeClr w14:val="tx1"/>
                  </w14:solidFill>
                </w14:textFill>
              </w:rPr>
            </w:pPr>
          </w:p>
        </w:tc>
      </w:tr>
      <w:tr w14:paraId="14E0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9" w:type="dxa"/>
            <w:vMerge w:val="continue"/>
            <w:vAlign w:val="center"/>
          </w:tcPr>
          <w:p w14:paraId="2169843F">
            <w:pPr>
              <w:jc w:val="center"/>
              <w:rPr>
                <w:rFonts w:ascii="仿宋_GB2312" w:hAnsi="仿宋_GB2312" w:eastAsia="仿宋_GB2312"/>
                <w:color w:val="000000" w:themeColor="text1"/>
                <w:szCs w:val="21"/>
                <w14:textFill>
                  <w14:solidFill>
                    <w14:schemeClr w14:val="tx1"/>
                  </w14:solidFill>
                </w14:textFill>
              </w:rPr>
            </w:pPr>
          </w:p>
        </w:tc>
        <w:tc>
          <w:tcPr>
            <w:tcW w:w="1276" w:type="dxa"/>
            <w:vMerge w:val="continue"/>
            <w:vAlign w:val="center"/>
          </w:tcPr>
          <w:p w14:paraId="61A85637">
            <w:pPr>
              <w:jc w:val="center"/>
              <w:rPr>
                <w:rFonts w:ascii="仿宋_GB2312" w:hAnsi="仿宋_GB2312" w:eastAsia="仿宋_GB2312"/>
                <w:color w:val="000000" w:themeColor="text1"/>
                <w:szCs w:val="21"/>
                <w14:textFill>
                  <w14:solidFill>
                    <w14:schemeClr w14:val="tx1"/>
                  </w14:solidFill>
                </w14:textFill>
              </w:rPr>
            </w:pPr>
          </w:p>
        </w:tc>
        <w:tc>
          <w:tcPr>
            <w:tcW w:w="709" w:type="dxa"/>
            <w:vMerge w:val="continue"/>
            <w:vAlign w:val="center"/>
          </w:tcPr>
          <w:p w14:paraId="78DECDA4">
            <w:pPr>
              <w:jc w:val="center"/>
              <w:rPr>
                <w:rFonts w:ascii="仿宋_GB2312" w:hAnsi="仿宋_GB2312" w:eastAsia="仿宋_GB2312"/>
                <w:color w:val="000000" w:themeColor="text1"/>
                <w:szCs w:val="21"/>
                <w14:textFill>
                  <w14:solidFill>
                    <w14:schemeClr w14:val="tx1"/>
                  </w14:solidFill>
                </w14:textFill>
              </w:rPr>
            </w:pPr>
          </w:p>
        </w:tc>
        <w:tc>
          <w:tcPr>
            <w:tcW w:w="2410" w:type="dxa"/>
            <w:vMerge w:val="continue"/>
            <w:vAlign w:val="center"/>
          </w:tcPr>
          <w:p w14:paraId="25B7F48B">
            <w:pPr>
              <w:jc w:val="left"/>
              <w:rPr>
                <w:rFonts w:ascii="仿宋_GB2312" w:hAnsi="仿宋_GB2312" w:eastAsia="仿宋_GB2312"/>
                <w:color w:val="000000" w:themeColor="text1"/>
                <w:szCs w:val="21"/>
                <w14:textFill>
                  <w14:solidFill>
                    <w14:schemeClr w14:val="tx1"/>
                  </w14:solidFill>
                </w14:textFill>
              </w:rPr>
            </w:pPr>
          </w:p>
        </w:tc>
        <w:tc>
          <w:tcPr>
            <w:tcW w:w="5103" w:type="dxa"/>
            <w:vMerge w:val="continue"/>
            <w:vAlign w:val="center"/>
          </w:tcPr>
          <w:p w14:paraId="3A71390B">
            <w:pPr>
              <w:jc w:val="left"/>
              <w:rPr>
                <w:rFonts w:ascii="仿宋_GB2312" w:hAnsi="仿宋_GB2312" w:eastAsia="仿宋_GB2312"/>
                <w:color w:val="000000" w:themeColor="text1"/>
                <w:szCs w:val="21"/>
                <w14:textFill>
                  <w14:solidFill>
                    <w14:schemeClr w14:val="tx1"/>
                  </w14:solidFill>
                </w14:textFill>
              </w:rPr>
            </w:pPr>
          </w:p>
        </w:tc>
        <w:tc>
          <w:tcPr>
            <w:tcW w:w="992" w:type="dxa"/>
            <w:vMerge w:val="continue"/>
            <w:vAlign w:val="center"/>
          </w:tcPr>
          <w:p w14:paraId="3482E5AD">
            <w:pPr>
              <w:jc w:val="center"/>
              <w:rPr>
                <w:rFonts w:ascii="仿宋_GB2312" w:hAnsi="仿宋_GB2312" w:eastAsia="仿宋_GB2312"/>
                <w:color w:val="000000" w:themeColor="text1"/>
                <w:szCs w:val="21"/>
                <w14:textFill>
                  <w14:solidFill>
                    <w14:schemeClr w14:val="tx1"/>
                  </w14:solidFill>
                </w14:textFill>
              </w:rPr>
            </w:pPr>
          </w:p>
        </w:tc>
      </w:tr>
      <w:tr w14:paraId="746A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Merge w:val="restart"/>
            <w:vAlign w:val="center"/>
          </w:tcPr>
          <w:p w14:paraId="6B22438D">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运营支撑方加分项</w:t>
            </w:r>
          </w:p>
        </w:tc>
        <w:tc>
          <w:tcPr>
            <w:tcW w:w="1276" w:type="dxa"/>
            <w:vAlign w:val="center"/>
          </w:tcPr>
          <w:p w14:paraId="6D045158">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应急服务</w:t>
            </w:r>
          </w:p>
        </w:tc>
        <w:tc>
          <w:tcPr>
            <w:tcW w:w="709" w:type="dxa"/>
            <w:vAlign w:val="center"/>
          </w:tcPr>
          <w:p w14:paraId="333043FF">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15</w:t>
            </w:r>
          </w:p>
        </w:tc>
        <w:tc>
          <w:tcPr>
            <w:tcW w:w="2410" w:type="dxa"/>
            <w:vAlign w:val="center"/>
          </w:tcPr>
          <w:p w14:paraId="0D787A3C">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甲方关于广网智融屏宣传推广而开展的应急服务、集中资源投放等，提供支撑</w:t>
            </w:r>
          </w:p>
        </w:tc>
        <w:tc>
          <w:tcPr>
            <w:tcW w:w="5103" w:type="dxa"/>
            <w:vAlign w:val="center"/>
          </w:tcPr>
          <w:p w14:paraId="7E035EDC">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按照《智融宣传服务规范》提供应急服务，完成一次得</w:t>
            </w:r>
            <w:r>
              <w:rPr>
                <w:rFonts w:ascii="仿宋_GB2312" w:hAnsi="仿宋_GB2312" w:eastAsia="仿宋_GB2312"/>
                <w:color w:val="000000" w:themeColor="text1"/>
                <w:szCs w:val="21"/>
                <w14:textFill>
                  <w14:solidFill>
                    <w14:schemeClr w14:val="tx1"/>
                  </w14:solidFill>
                </w14:textFill>
              </w:rPr>
              <w:t>1-3分不等，封顶15分。</w:t>
            </w:r>
          </w:p>
        </w:tc>
        <w:tc>
          <w:tcPr>
            <w:tcW w:w="992" w:type="dxa"/>
            <w:vAlign w:val="center"/>
          </w:tcPr>
          <w:p w14:paraId="57D7746A">
            <w:pPr>
              <w:jc w:val="center"/>
              <w:rPr>
                <w:rFonts w:ascii="仿宋_GB2312" w:hAnsi="仿宋_GB2312" w:eastAsia="仿宋_GB2312"/>
                <w:color w:val="000000" w:themeColor="text1"/>
                <w:szCs w:val="21"/>
                <w14:textFill>
                  <w14:solidFill>
                    <w14:schemeClr w14:val="tx1"/>
                  </w14:solidFill>
                </w14:textFill>
              </w:rPr>
            </w:pPr>
          </w:p>
        </w:tc>
      </w:tr>
      <w:tr w14:paraId="6D0D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Merge w:val="continue"/>
            <w:vAlign w:val="center"/>
          </w:tcPr>
          <w:p w14:paraId="28A273DB">
            <w:pPr>
              <w:jc w:val="center"/>
              <w:rPr>
                <w:rFonts w:ascii="仿宋_GB2312" w:hAnsi="仿宋_GB2312" w:eastAsia="仿宋_GB2312"/>
                <w:color w:val="000000" w:themeColor="text1"/>
                <w:szCs w:val="21"/>
                <w14:textFill>
                  <w14:solidFill>
                    <w14:schemeClr w14:val="tx1"/>
                  </w14:solidFill>
                </w14:textFill>
              </w:rPr>
            </w:pPr>
          </w:p>
        </w:tc>
        <w:tc>
          <w:tcPr>
            <w:tcW w:w="1276" w:type="dxa"/>
            <w:vAlign w:val="center"/>
          </w:tcPr>
          <w:p w14:paraId="526D9642">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项目服务配合度</w:t>
            </w:r>
          </w:p>
        </w:tc>
        <w:tc>
          <w:tcPr>
            <w:tcW w:w="709" w:type="dxa"/>
            <w:vAlign w:val="center"/>
          </w:tcPr>
          <w:p w14:paraId="03102DCB">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10</w:t>
            </w:r>
          </w:p>
        </w:tc>
        <w:tc>
          <w:tcPr>
            <w:tcW w:w="2410" w:type="dxa"/>
            <w:vAlign w:val="center"/>
          </w:tcPr>
          <w:p w14:paraId="3A9C1B39">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配合甲方做好项目类服务，比如两会等</w:t>
            </w:r>
          </w:p>
        </w:tc>
        <w:tc>
          <w:tcPr>
            <w:tcW w:w="5103" w:type="dxa"/>
            <w:vAlign w:val="center"/>
          </w:tcPr>
          <w:p w14:paraId="53C7A96D">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按照《智融服务规范》提供项目类交付服务，完成一次得</w:t>
            </w:r>
            <w:r>
              <w:rPr>
                <w:rFonts w:ascii="仿宋_GB2312" w:hAnsi="仿宋_GB2312" w:eastAsia="仿宋_GB2312"/>
                <w:color w:val="000000" w:themeColor="text1"/>
                <w:szCs w:val="21"/>
                <w14:textFill>
                  <w14:solidFill>
                    <w14:schemeClr w14:val="tx1"/>
                  </w14:solidFill>
                </w14:textFill>
              </w:rPr>
              <w:t>5分，封顶10分。</w:t>
            </w:r>
          </w:p>
        </w:tc>
        <w:tc>
          <w:tcPr>
            <w:tcW w:w="992" w:type="dxa"/>
            <w:vAlign w:val="center"/>
          </w:tcPr>
          <w:p w14:paraId="4FD88527">
            <w:pPr>
              <w:jc w:val="center"/>
              <w:rPr>
                <w:rFonts w:ascii="仿宋_GB2312" w:hAnsi="仿宋_GB2312" w:eastAsia="仿宋_GB2312"/>
                <w:color w:val="000000" w:themeColor="text1"/>
                <w:szCs w:val="21"/>
                <w14:textFill>
                  <w14:solidFill>
                    <w14:schemeClr w14:val="tx1"/>
                  </w14:solidFill>
                </w14:textFill>
              </w:rPr>
            </w:pPr>
          </w:p>
        </w:tc>
      </w:tr>
      <w:tr w14:paraId="0FA4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continue"/>
            <w:vAlign w:val="center"/>
          </w:tcPr>
          <w:p w14:paraId="37196928">
            <w:pPr>
              <w:jc w:val="center"/>
              <w:rPr>
                <w:rFonts w:ascii="仿宋_GB2312" w:hAnsi="仿宋_GB2312" w:eastAsia="仿宋_GB2312"/>
                <w:color w:val="000000" w:themeColor="text1"/>
                <w:szCs w:val="21"/>
                <w14:textFill>
                  <w14:solidFill>
                    <w14:schemeClr w14:val="tx1"/>
                  </w14:solidFill>
                </w14:textFill>
              </w:rPr>
            </w:pPr>
          </w:p>
        </w:tc>
        <w:tc>
          <w:tcPr>
            <w:tcW w:w="1276" w:type="dxa"/>
            <w:vAlign w:val="center"/>
          </w:tcPr>
          <w:p w14:paraId="05D54746">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客户表扬</w:t>
            </w:r>
          </w:p>
          <w:p w14:paraId="0E3DCD59">
            <w:pPr>
              <w:rPr>
                <w:rFonts w:ascii="仿宋_GB2312" w:hAnsi="仿宋_GB2312" w:eastAsia="仿宋_GB2312"/>
                <w:color w:val="000000" w:themeColor="text1"/>
                <w:szCs w:val="21"/>
                <w14:textFill>
                  <w14:solidFill>
                    <w14:schemeClr w14:val="tx1"/>
                  </w14:solidFill>
                </w14:textFill>
              </w:rPr>
            </w:pPr>
          </w:p>
          <w:p w14:paraId="284B5BBC">
            <w:pPr>
              <w:rPr>
                <w:rFonts w:ascii="仿宋_GB2312" w:hAnsi="仿宋_GB2312" w:eastAsia="仿宋_GB2312"/>
                <w:color w:val="000000" w:themeColor="text1"/>
                <w:szCs w:val="21"/>
                <w14:textFill>
                  <w14:solidFill>
                    <w14:schemeClr w14:val="tx1"/>
                  </w14:solidFill>
                </w14:textFill>
              </w:rPr>
            </w:pPr>
          </w:p>
          <w:p w14:paraId="01B28134">
            <w:pPr>
              <w:rPr>
                <w:rFonts w:ascii="仿宋_GB2312" w:hAnsi="仿宋_GB2312" w:eastAsia="仿宋_GB2312"/>
                <w:color w:val="000000" w:themeColor="text1"/>
                <w:szCs w:val="21"/>
                <w14:textFill>
                  <w14:solidFill>
                    <w14:schemeClr w14:val="tx1"/>
                  </w14:solidFill>
                </w14:textFill>
              </w:rPr>
            </w:pPr>
          </w:p>
        </w:tc>
        <w:tc>
          <w:tcPr>
            <w:tcW w:w="709" w:type="dxa"/>
            <w:vAlign w:val="center"/>
          </w:tcPr>
          <w:p w14:paraId="175E96C5">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10</w:t>
            </w:r>
          </w:p>
        </w:tc>
        <w:tc>
          <w:tcPr>
            <w:tcW w:w="2410" w:type="dxa"/>
            <w:vAlign w:val="center"/>
          </w:tcPr>
          <w:p w14:paraId="0C39C682">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客户关于服务相关表扬，包括但不限于：内容、服务点赞等（不含客套的点赞表情包回复）。</w:t>
            </w:r>
          </w:p>
          <w:p w14:paraId="52EB5355">
            <w:pPr>
              <w:rPr>
                <w:rFonts w:ascii="仿宋_GB2312" w:hAnsi="仿宋_GB2312" w:eastAsia="仿宋_GB2312"/>
                <w:color w:val="000000" w:themeColor="text1"/>
                <w:szCs w:val="21"/>
                <w14:textFill>
                  <w14:solidFill>
                    <w14:schemeClr w14:val="tx1"/>
                  </w14:solidFill>
                </w14:textFill>
              </w:rPr>
            </w:pPr>
          </w:p>
        </w:tc>
        <w:tc>
          <w:tcPr>
            <w:tcW w:w="5103" w:type="dxa"/>
            <w:vAlign w:val="center"/>
          </w:tcPr>
          <w:p w14:paraId="3C9CEAE7">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每表扬（或点赞）一次得</w:t>
            </w:r>
            <w:r>
              <w:rPr>
                <w:rFonts w:ascii="仿宋_GB2312" w:hAnsi="仿宋_GB2312" w:eastAsia="仿宋_GB2312"/>
                <w:color w:val="000000" w:themeColor="text1"/>
                <w:szCs w:val="21"/>
                <w14:textFill>
                  <w14:solidFill>
                    <w14:schemeClr w14:val="tx1"/>
                  </w14:solidFill>
                </w14:textFill>
              </w:rPr>
              <w:t>0.5分，封顶10分。</w:t>
            </w:r>
          </w:p>
        </w:tc>
        <w:tc>
          <w:tcPr>
            <w:tcW w:w="992" w:type="dxa"/>
            <w:vAlign w:val="center"/>
          </w:tcPr>
          <w:p w14:paraId="485D1755">
            <w:pPr>
              <w:jc w:val="center"/>
              <w:rPr>
                <w:rFonts w:ascii="仿宋_GB2312" w:hAnsi="仿宋_GB2312" w:eastAsia="仿宋_GB2312"/>
                <w:color w:val="000000" w:themeColor="text1"/>
                <w:szCs w:val="21"/>
                <w14:textFill>
                  <w14:solidFill>
                    <w14:schemeClr w14:val="tx1"/>
                  </w14:solidFill>
                </w14:textFill>
              </w:rPr>
            </w:pPr>
          </w:p>
        </w:tc>
      </w:tr>
      <w:tr w14:paraId="54FF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09" w:type="dxa"/>
            <w:vMerge w:val="restart"/>
            <w:vAlign w:val="center"/>
          </w:tcPr>
          <w:p w14:paraId="24AF3075">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运营支撑方减分项</w:t>
            </w:r>
          </w:p>
        </w:tc>
        <w:tc>
          <w:tcPr>
            <w:tcW w:w="1276" w:type="dxa"/>
            <w:vAlign w:val="center"/>
          </w:tcPr>
          <w:p w14:paraId="46E43E9D">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客户投诉</w:t>
            </w:r>
          </w:p>
        </w:tc>
        <w:tc>
          <w:tcPr>
            <w:tcW w:w="709" w:type="dxa"/>
            <w:vAlign w:val="center"/>
          </w:tcPr>
          <w:p w14:paraId="02FAD412">
            <w:pPr>
              <w:jc w:val="center"/>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-10</w:t>
            </w:r>
          </w:p>
        </w:tc>
        <w:tc>
          <w:tcPr>
            <w:tcW w:w="2410" w:type="dxa"/>
            <w:vAlign w:val="center"/>
          </w:tcPr>
          <w:p w14:paraId="257BD511">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客户关于服务相关投诉，包括但不限于：未按照《服务规范》导致的投诉、内容错误问题等</w:t>
            </w:r>
          </w:p>
        </w:tc>
        <w:tc>
          <w:tcPr>
            <w:tcW w:w="5103" w:type="dxa"/>
            <w:vAlign w:val="center"/>
          </w:tcPr>
          <w:p w14:paraId="15B93BAD">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视情节严重情况，每被投诉一次扣</w:t>
            </w:r>
            <w:r>
              <w:rPr>
                <w:rFonts w:ascii="仿宋_GB2312" w:hAnsi="仿宋_GB2312" w:eastAsia="仿宋_GB2312"/>
                <w:color w:val="000000" w:themeColor="text1"/>
                <w:szCs w:val="21"/>
                <w14:textFill>
                  <w14:solidFill>
                    <w14:schemeClr w14:val="tx1"/>
                  </w14:solidFill>
                </w14:textFill>
              </w:rPr>
              <w:t>0.5分-5分不等，封顶10分。</w:t>
            </w:r>
          </w:p>
        </w:tc>
        <w:tc>
          <w:tcPr>
            <w:tcW w:w="992" w:type="dxa"/>
            <w:vAlign w:val="center"/>
          </w:tcPr>
          <w:p w14:paraId="21F630A2">
            <w:pPr>
              <w:jc w:val="center"/>
              <w:rPr>
                <w:rFonts w:ascii="仿宋_GB2312" w:hAnsi="仿宋_GB2312" w:eastAsia="仿宋_GB2312"/>
                <w:color w:val="000000" w:themeColor="text1"/>
                <w:szCs w:val="21"/>
                <w14:textFill>
                  <w14:solidFill>
                    <w14:schemeClr w14:val="tx1"/>
                  </w14:solidFill>
                </w14:textFill>
              </w:rPr>
            </w:pPr>
          </w:p>
        </w:tc>
      </w:tr>
      <w:tr w14:paraId="0C67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09" w:type="dxa"/>
            <w:vMerge w:val="continue"/>
            <w:vAlign w:val="center"/>
          </w:tcPr>
          <w:p w14:paraId="75F4BD19">
            <w:pPr>
              <w:jc w:val="center"/>
              <w:rPr>
                <w:rFonts w:ascii="仿宋_GB2312" w:hAnsi="仿宋_GB2312" w:eastAsia="仿宋_GB2312"/>
                <w:color w:val="000000" w:themeColor="text1"/>
                <w:szCs w:val="21"/>
                <w14:textFill>
                  <w14:solidFill>
                    <w14:schemeClr w14:val="tx1"/>
                  </w14:solidFill>
                </w14:textFill>
              </w:rPr>
            </w:pPr>
          </w:p>
        </w:tc>
        <w:tc>
          <w:tcPr>
            <w:tcW w:w="1276" w:type="dxa"/>
            <w:vAlign w:val="center"/>
          </w:tcPr>
          <w:p w14:paraId="28893D8C">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安全播出考核</w:t>
            </w:r>
          </w:p>
        </w:tc>
        <w:tc>
          <w:tcPr>
            <w:tcW w:w="709" w:type="dxa"/>
            <w:vAlign w:val="center"/>
          </w:tcPr>
          <w:p w14:paraId="2B117E21">
            <w:pPr>
              <w:jc w:val="cente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不封顶</w:t>
            </w:r>
          </w:p>
        </w:tc>
        <w:tc>
          <w:tcPr>
            <w:tcW w:w="2410" w:type="dxa"/>
            <w:vAlign w:val="center"/>
          </w:tcPr>
          <w:p w14:paraId="1784BF29">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乙方未按照甲方要求进行安全整改而导致的安全事故</w:t>
            </w:r>
          </w:p>
        </w:tc>
        <w:tc>
          <w:tcPr>
            <w:tcW w:w="5103" w:type="dxa"/>
            <w:vAlign w:val="center"/>
          </w:tcPr>
          <w:p w14:paraId="38657A6E">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因乙方未按照甲方要求进行安全整改而导致的安全事故，视影响情况进行扣分，上不封顶。</w:t>
            </w:r>
          </w:p>
        </w:tc>
        <w:tc>
          <w:tcPr>
            <w:tcW w:w="992" w:type="dxa"/>
            <w:vAlign w:val="center"/>
          </w:tcPr>
          <w:p w14:paraId="21523406">
            <w:pPr>
              <w:jc w:val="center"/>
              <w:rPr>
                <w:rFonts w:ascii="仿宋_GB2312" w:hAnsi="仿宋_GB2312" w:eastAsia="仿宋_GB2312"/>
                <w:color w:val="000000" w:themeColor="text1"/>
                <w:szCs w:val="21"/>
                <w14:textFill>
                  <w14:solidFill>
                    <w14:schemeClr w14:val="tx1"/>
                  </w14:solidFill>
                </w14:textFill>
              </w:rPr>
            </w:pPr>
          </w:p>
        </w:tc>
      </w:tr>
      <w:tr w14:paraId="304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85" w:type="dxa"/>
            <w:gridSpan w:val="2"/>
            <w:vAlign w:val="center"/>
          </w:tcPr>
          <w:p w14:paraId="1A26B06F">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合计</w:t>
            </w:r>
          </w:p>
        </w:tc>
        <w:tc>
          <w:tcPr>
            <w:tcW w:w="9214" w:type="dxa"/>
            <w:gridSpan w:val="4"/>
            <w:vAlign w:val="center"/>
          </w:tcPr>
          <w:p w14:paraId="41C4F70A">
            <w:pPr>
              <w:jc w:val="center"/>
              <w:rPr>
                <w:rFonts w:ascii="仿宋_GB2312" w:hAnsi="仿宋_GB2312" w:eastAsia="仿宋_GB2312"/>
                <w:color w:val="000000" w:themeColor="text1"/>
                <w:szCs w:val="21"/>
                <w14:textFill>
                  <w14:solidFill>
                    <w14:schemeClr w14:val="tx1"/>
                  </w14:solidFill>
                </w14:textFill>
              </w:rPr>
            </w:pPr>
          </w:p>
        </w:tc>
      </w:tr>
      <w:tr w14:paraId="553E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985" w:type="dxa"/>
            <w:gridSpan w:val="2"/>
            <w:vAlign w:val="center"/>
          </w:tcPr>
          <w:p w14:paraId="1C02CC94">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经办人确认</w:t>
            </w:r>
          </w:p>
        </w:tc>
        <w:tc>
          <w:tcPr>
            <w:tcW w:w="9214" w:type="dxa"/>
            <w:gridSpan w:val="4"/>
            <w:vAlign w:val="center"/>
          </w:tcPr>
          <w:p w14:paraId="52F9C66A">
            <w:pPr>
              <w:jc w:val="center"/>
              <w:rPr>
                <w:rFonts w:ascii="仿宋_GB2312" w:hAnsi="仿宋_GB2312" w:eastAsia="仿宋_GB2312"/>
                <w:color w:val="000000" w:themeColor="text1"/>
                <w:szCs w:val="21"/>
                <w14:textFill>
                  <w14:solidFill>
                    <w14:schemeClr w14:val="tx1"/>
                  </w14:solidFill>
                </w14:textFill>
              </w:rPr>
            </w:pPr>
          </w:p>
        </w:tc>
      </w:tr>
      <w:tr w14:paraId="1F1D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85" w:type="dxa"/>
            <w:gridSpan w:val="2"/>
            <w:vAlign w:val="center"/>
          </w:tcPr>
          <w:p w14:paraId="78F51A11">
            <w:pPr>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部门负责人确认</w:t>
            </w:r>
          </w:p>
        </w:tc>
        <w:tc>
          <w:tcPr>
            <w:tcW w:w="9214" w:type="dxa"/>
            <w:gridSpan w:val="4"/>
            <w:vAlign w:val="center"/>
          </w:tcPr>
          <w:p w14:paraId="66D7F2A3">
            <w:pPr>
              <w:jc w:val="center"/>
              <w:rPr>
                <w:rFonts w:ascii="仿宋_GB2312" w:hAnsi="仿宋_GB2312" w:eastAsia="仿宋_GB2312"/>
                <w:color w:val="000000" w:themeColor="text1"/>
                <w:szCs w:val="21"/>
                <w14:textFill>
                  <w14:solidFill>
                    <w14:schemeClr w14:val="tx1"/>
                  </w14:solidFill>
                </w14:textFill>
              </w:rPr>
            </w:pPr>
          </w:p>
        </w:tc>
      </w:tr>
      <w:tr w14:paraId="1960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1199" w:type="dxa"/>
            <w:gridSpan w:val="6"/>
            <w:vAlign w:val="center"/>
          </w:tcPr>
          <w:p w14:paraId="62600DE1">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备注：</w:t>
            </w:r>
          </w:p>
          <w:p w14:paraId="106A18DC">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一、</w:t>
            </w:r>
            <w:r>
              <w:rPr>
                <w:rFonts w:ascii="仿宋_GB2312" w:hAnsi="仿宋_GB2312" w:eastAsia="仿宋_GB2312"/>
                <w:color w:val="000000" w:themeColor="text1"/>
                <w:szCs w:val="21"/>
                <w14:textFill>
                  <w14:solidFill>
                    <w14:schemeClr w14:val="tx1"/>
                  </w14:solidFill>
                </w14:textFill>
              </w:rPr>
              <w:t>以广网融科实际下发的月度评分表为准，如月度评分表中考核项目发生变更，广网融科应至少提前十个工作日以书面形式通知合作方。</w:t>
            </w:r>
          </w:p>
          <w:p w14:paraId="2B189939">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二、</w:t>
            </w:r>
            <w:r>
              <w:rPr>
                <w:rFonts w:ascii="仿宋_GB2312" w:hAnsi="仿宋_GB2312" w:eastAsia="仿宋_GB2312"/>
                <w:color w:val="000000" w:themeColor="text1"/>
                <w:szCs w:val="21"/>
                <w14:textFill>
                  <w14:solidFill>
                    <w14:schemeClr w14:val="tx1"/>
                  </w14:solidFill>
                </w14:textFill>
              </w:rPr>
              <w:t>每个月度5日前出上月评分结果及扣分证明告知合作方，如有异议，双方在每月8日前确认。</w:t>
            </w:r>
          </w:p>
          <w:p w14:paraId="47658EC8">
            <w:pPr>
              <w:jc w:val="left"/>
              <w:rPr>
                <w:rFonts w:ascii="仿宋_GB2312" w:hAnsi="仿宋_GB2312" w:eastAsia="仿宋_GB2312"/>
                <w:color w:val="000000" w:themeColor="text1"/>
                <w:szCs w:val="21"/>
                <w14:textFill>
                  <w14:solidFill>
                    <w14:schemeClr w14:val="tx1"/>
                  </w14:solidFill>
                </w14:textFill>
              </w:rPr>
            </w:pPr>
            <w:r>
              <w:rPr>
                <w:rFonts w:hint="eastAsia" w:ascii="仿宋_GB2312" w:hAnsi="仿宋_GB2312" w:eastAsia="仿宋_GB2312"/>
                <w:color w:val="000000" w:themeColor="text1"/>
                <w:szCs w:val="21"/>
                <w14:textFill>
                  <w14:solidFill>
                    <w14:schemeClr w14:val="tx1"/>
                  </w14:solidFill>
                </w14:textFill>
              </w:rPr>
              <w:t>三、结算扣款比例如下</w:t>
            </w:r>
          </w:p>
          <w:p w14:paraId="6D93E5E5">
            <w:pPr>
              <w:pStyle w:val="31"/>
              <w:numPr>
                <w:ilvl w:val="0"/>
                <w:numId w:val="10"/>
              </w:numPr>
              <w:ind w:firstLineChars="0"/>
              <w:contextualSpacing/>
              <w:jc w:val="left"/>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总分90分及以上，按照月度结算金额的100%结算；</w:t>
            </w:r>
          </w:p>
          <w:p w14:paraId="38AA8876">
            <w:pPr>
              <w:pStyle w:val="31"/>
              <w:numPr>
                <w:ilvl w:val="0"/>
                <w:numId w:val="10"/>
              </w:numPr>
              <w:ind w:firstLineChars="0"/>
              <w:contextualSpacing/>
              <w:jc w:val="left"/>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80分至90分（含80分），扣除月度结算金额2%；</w:t>
            </w:r>
          </w:p>
          <w:p w14:paraId="24256CDF">
            <w:pPr>
              <w:pStyle w:val="31"/>
              <w:numPr>
                <w:ilvl w:val="0"/>
                <w:numId w:val="10"/>
              </w:numPr>
              <w:ind w:firstLineChars="0"/>
              <w:contextualSpacing/>
              <w:jc w:val="left"/>
              <w:rPr>
                <w:rFonts w:ascii="仿宋_GB2312" w:hAnsi="仿宋_GB2312" w:eastAsia="仿宋_GB2312"/>
                <w:color w:val="000000" w:themeColor="text1"/>
                <w:szCs w:val="21"/>
                <w14:textFill>
                  <w14:solidFill>
                    <w14:schemeClr w14:val="tx1"/>
                  </w14:solidFill>
                </w14:textFill>
              </w:rPr>
            </w:pPr>
            <w:r>
              <w:rPr>
                <w:rFonts w:ascii="仿宋_GB2312" w:hAnsi="仿宋_GB2312" w:eastAsia="仿宋_GB2312"/>
                <w:color w:val="000000" w:themeColor="text1"/>
                <w:szCs w:val="21"/>
                <w14:textFill>
                  <w14:solidFill>
                    <w14:schemeClr w14:val="tx1"/>
                  </w14:solidFill>
                </w14:textFill>
              </w:rPr>
              <w:t>80分以下（不含80分），扣除月度结算金额的3%</w:t>
            </w:r>
            <w:r>
              <w:rPr>
                <w:rFonts w:hint="eastAsia" w:ascii="仿宋_GB2312" w:hAnsi="仿宋_GB2312" w:eastAsia="仿宋_GB2312"/>
                <w:color w:val="000000" w:themeColor="text1"/>
                <w:szCs w:val="21"/>
                <w14:textFill>
                  <w14:solidFill>
                    <w14:schemeClr w14:val="tx1"/>
                  </w14:solidFill>
                </w14:textFill>
              </w:rPr>
              <w:t>。</w:t>
            </w:r>
          </w:p>
          <w:p w14:paraId="52FA6215">
            <w:pPr>
              <w:jc w:val="center"/>
              <w:rPr>
                <w:rFonts w:ascii="仿宋_GB2312" w:hAnsi="仿宋_GB2312" w:eastAsia="仿宋_GB2312"/>
                <w:color w:val="000000" w:themeColor="text1"/>
                <w:szCs w:val="21"/>
                <w14:textFill>
                  <w14:solidFill>
                    <w14:schemeClr w14:val="tx1"/>
                  </w14:solidFill>
                </w14:textFill>
              </w:rPr>
            </w:pPr>
          </w:p>
        </w:tc>
      </w:tr>
    </w:tbl>
    <w:p w14:paraId="51125BDF">
      <w:pPr>
        <w:rPr>
          <w:rFonts w:ascii="仿宋_GB2312" w:hAnsi="仿宋_GB2312" w:eastAsia="仿宋_GB2312" w:cs="仿宋_GB2312"/>
          <w:color w:val="000000" w:themeColor="text1"/>
          <w:sz w:val="28"/>
          <w:szCs w:val="28"/>
          <w14:textFill>
            <w14:solidFill>
              <w14:schemeClr w14:val="tx1"/>
            </w14:solidFill>
          </w14:textFill>
        </w:rPr>
      </w:pPr>
    </w:p>
    <w:p w14:paraId="12DBB1A9">
      <w:pPr>
        <w:sectPr>
          <w:pgSz w:w="11906" w:h="16838"/>
          <w:pgMar w:top="1440" w:right="1800" w:bottom="1440" w:left="1800" w:header="851" w:footer="992" w:gutter="0"/>
          <w:pgNumType w:start="0"/>
          <w:cols w:space="720" w:num="1"/>
          <w:docGrid w:type="lines" w:linePitch="312" w:charSpace="0"/>
        </w:sectPr>
      </w:pPr>
    </w:p>
    <w:p w14:paraId="1B97B9DC">
      <w:pPr>
        <w:pStyle w:val="9"/>
        <w:spacing w:line="0" w:lineRule="atLeast"/>
        <w:jc w:val="center"/>
        <w:outlineLvl w:val="0"/>
        <w:rPr>
          <w:b/>
          <w:sz w:val="72"/>
          <w:szCs w:val="72"/>
        </w:rPr>
      </w:pPr>
      <w:bookmarkStart w:id="53" w:name="_Toc24585"/>
      <w:bookmarkStart w:id="54" w:name="_Toc13313"/>
      <w:bookmarkStart w:id="55" w:name="_Toc4513"/>
      <w:bookmarkStart w:id="56" w:name="_Toc32204"/>
      <w:r>
        <w:rPr>
          <w:rFonts w:hint="eastAsia" w:hAnsi="Times New Roman"/>
          <w:b/>
          <w:bCs/>
          <w:kern w:val="2"/>
          <w:sz w:val="36"/>
          <w:szCs w:val="36"/>
        </w:rPr>
        <w:t>第五部分  招募响应</w:t>
      </w:r>
      <w:r>
        <w:rPr>
          <w:rFonts w:hint="eastAsia"/>
          <w:b/>
          <w:bCs/>
          <w:kern w:val="2"/>
          <w:sz w:val="36"/>
          <w:szCs w:val="36"/>
        </w:rPr>
        <w:t>文件</w:t>
      </w:r>
      <w:r>
        <w:rPr>
          <w:rFonts w:hint="eastAsia" w:hAnsi="Times New Roman"/>
          <w:b/>
          <w:bCs/>
          <w:kern w:val="2"/>
          <w:sz w:val="36"/>
          <w:szCs w:val="36"/>
        </w:rPr>
        <w:t>（参考文本）</w:t>
      </w:r>
      <w:bookmarkEnd w:id="53"/>
      <w:bookmarkEnd w:id="54"/>
      <w:bookmarkEnd w:id="55"/>
      <w:bookmarkEnd w:id="56"/>
    </w:p>
    <w:p w14:paraId="5E235938">
      <w:pPr>
        <w:pStyle w:val="9"/>
        <w:spacing w:line="0" w:lineRule="atLeast"/>
        <w:jc w:val="center"/>
        <w:outlineLvl w:val="0"/>
        <w:rPr>
          <w:b/>
          <w:sz w:val="72"/>
          <w:szCs w:val="72"/>
        </w:rPr>
      </w:pPr>
    </w:p>
    <w:p w14:paraId="57A54A78">
      <w:pPr>
        <w:pStyle w:val="9"/>
        <w:spacing w:line="0" w:lineRule="atLeast"/>
        <w:jc w:val="center"/>
        <w:outlineLvl w:val="0"/>
        <w:rPr>
          <w:b/>
          <w:sz w:val="72"/>
          <w:szCs w:val="72"/>
        </w:rPr>
      </w:pPr>
    </w:p>
    <w:p w14:paraId="4FB6B613">
      <w:pPr>
        <w:pStyle w:val="9"/>
        <w:spacing w:line="0" w:lineRule="atLeast"/>
        <w:jc w:val="center"/>
        <w:outlineLvl w:val="0"/>
        <w:rPr>
          <w:b/>
          <w:sz w:val="72"/>
          <w:szCs w:val="72"/>
        </w:rPr>
      </w:pPr>
      <w:bookmarkStart w:id="57" w:name="_Toc7181"/>
      <w:bookmarkStart w:id="58" w:name="_Toc3172"/>
      <w:bookmarkStart w:id="59" w:name="_Toc2071"/>
      <w:bookmarkStart w:id="60" w:name="_Toc4337"/>
      <w:bookmarkStart w:id="61" w:name="_Toc24458"/>
      <w:bookmarkStart w:id="62" w:name="_Toc4704"/>
      <w:bookmarkStart w:id="63" w:name="_Toc9757"/>
      <w:bookmarkStart w:id="64" w:name="_Toc29317"/>
      <w:bookmarkStart w:id="65" w:name="_Toc13606"/>
      <w:bookmarkStart w:id="66" w:name="_Toc10546"/>
      <w:bookmarkStart w:id="67" w:name="_Toc7725"/>
      <w:r>
        <w:rPr>
          <w:rFonts w:hint="eastAsia"/>
          <w:b/>
          <w:sz w:val="72"/>
          <w:szCs w:val="72"/>
        </w:rPr>
        <w:t>招 募 响 应</w:t>
      </w:r>
      <w:r>
        <w:rPr>
          <w:rFonts w:ascii="Times New Roman" w:hAnsi="Times New Roman"/>
          <w:b/>
          <w:sz w:val="72"/>
          <w:szCs w:val="72"/>
        </w:rPr>
        <w:t xml:space="preserve"> </w:t>
      </w:r>
      <w:r>
        <w:rPr>
          <w:rFonts w:hint="eastAsia"/>
          <w:b/>
          <w:sz w:val="72"/>
          <w:szCs w:val="72"/>
        </w:rPr>
        <w:t>文</w:t>
      </w:r>
      <w:r>
        <w:rPr>
          <w:rFonts w:ascii="Times New Roman" w:hAnsi="Times New Roman"/>
          <w:b/>
          <w:sz w:val="72"/>
          <w:szCs w:val="72"/>
        </w:rPr>
        <w:t xml:space="preserve"> </w:t>
      </w:r>
      <w:r>
        <w:rPr>
          <w:rFonts w:hint="eastAsia"/>
          <w:b/>
          <w:sz w:val="72"/>
          <w:szCs w:val="72"/>
        </w:rPr>
        <w:t>件</w:t>
      </w:r>
      <w:bookmarkEnd w:id="57"/>
      <w:bookmarkEnd w:id="58"/>
      <w:bookmarkEnd w:id="59"/>
      <w:bookmarkEnd w:id="60"/>
      <w:bookmarkEnd w:id="61"/>
      <w:bookmarkEnd w:id="62"/>
      <w:bookmarkEnd w:id="63"/>
      <w:bookmarkEnd w:id="64"/>
      <w:bookmarkEnd w:id="65"/>
      <w:bookmarkEnd w:id="66"/>
      <w:bookmarkEnd w:id="67"/>
    </w:p>
    <w:p w14:paraId="2FE13C8B">
      <w:pPr>
        <w:pStyle w:val="9"/>
        <w:spacing w:line="0" w:lineRule="atLeast"/>
        <w:jc w:val="center"/>
        <w:outlineLvl w:val="0"/>
      </w:pPr>
      <w:r>
        <w:rPr>
          <w:rFonts w:ascii="Times New Roman" w:hAnsi="Times New Roman"/>
          <w:b/>
          <w:sz w:val="72"/>
          <w:szCs w:val="72"/>
        </w:rPr>
        <w:t xml:space="preserve"> </w:t>
      </w:r>
    </w:p>
    <w:p w14:paraId="3612248A">
      <w:pPr>
        <w:pStyle w:val="9"/>
        <w:spacing w:line="0" w:lineRule="atLeast"/>
        <w:jc w:val="center"/>
        <w:outlineLvl w:val="0"/>
        <w:rPr>
          <w:rFonts w:ascii="Times New Roman" w:hAnsi="Times New Roman"/>
          <w:b/>
          <w:sz w:val="72"/>
          <w:szCs w:val="72"/>
        </w:rPr>
      </w:pPr>
      <w:r>
        <w:rPr>
          <w:rFonts w:ascii="Times New Roman" w:hAnsi="Times New Roman"/>
          <w:b/>
          <w:sz w:val="72"/>
          <w:szCs w:val="72"/>
        </w:rPr>
        <w:t xml:space="preserve"> </w:t>
      </w:r>
    </w:p>
    <w:p w14:paraId="1646FE3C">
      <w:pPr>
        <w:rPr>
          <w:rFonts w:ascii="Times New Roman" w:hAnsi="Times New Roman" w:eastAsia="宋体"/>
          <w:b/>
          <w:kern w:val="0"/>
          <w:sz w:val="72"/>
          <w:szCs w:val="72"/>
        </w:rPr>
      </w:pPr>
    </w:p>
    <w:p w14:paraId="1875BC2E">
      <w:pPr>
        <w:rPr>
          <w:rFonts w:ascii="Times New Roman" w:hAnsi="Times New Roman" w:eastAsia="宋体"/>
          <w:b/>
          <w:kern w:val="0"/>
          <w:sz w:val="72"/>
          <w:szCs w:val="72"/>
        </w:rPr>
      </w:pPr>
    </w:p>
    <w:p w14:paraId="1BF5CC57">
      <w:pPr>
        <w:pStyle w:val="9"/>
        <w:spacing w:line="0" w:lineRule="atLeast"/>
        <w:jc w:val="center"/>
        <w:outlineLvl w:val="0"/>
        <w:rPr>
          <w:rFonts w:hAnsi="宋体"/>
          <w:b/>
          <w:sz w:val="32"/>
          <w:szCs w:val="32"/>
        </w:rPr>
      </w:pPr>
      <w:bookmarkStart w:id="68" w:name="_Toc7739"/>
      <w:bookmarkStart w:id="69" w:name="_Toc27471"/>
      <w:bookmarkStart w:id="70" w:name="_Toc12669"/>
      <w:bookmarkStart w:id="71" w:name="_Toc9017"/>
      <w:bookmarkStart w:id="72" w:name="_Toc16930"/>
      <w:r>
        <w:rPr>
          <w:rFonts w:hint="eastAsia" w:hAnsi="宋体"/>
          <w:b/>
          <w:sz w:val="32"/>
          <w:szCs w:val="32"/>
        </w:rPr>
        <w:t>项目名称：</w:t>
      </w:r>
      <w:bookmarkEnd w:id="68"/>
      <w:bookmarkEnd w:id="69"/>
      <w:bookmarkEnd w:id="70"/>
      <w:bookmarkEnd w:id="71"/>
      <w:bookmarkEnd w:id="72"/>
      <w:bookmarkStart w:id="73" w:name="_Toc22972"/>
      <w:bookmarkStart w:id="74" w:name="_Toc26822"/>
      <w:bookmarkStart w:id="75" w:name="_Toc23697"/>
      <w:bookmarkStart w:id="76" w:name="_Toc20265"/>
      <w:bookmarkStart w:id="77" w:name="_Toc8947"/>
      <w:r>
        <w:rPr>
          <w:rFonts w:hint="eastAsia" w:hAnsi="宋体"/>
          <w:b/>
          <w:sz w:val="32"/>
          <w:szCs w:val="32"/>
        </w:rPr>
        <w:t>2026年度智融宣传服务项目合作方招募</w:t>
      </w:r>
      <w:bookmarkEnd w:id="73"/>
      <w:bookmarkEnd w:id="74"/>
      <w:bookmarkEnd w:id="75"/>
      <w:bookmarkEnd w:id="76"/>
      <w:bookmarkEnd w:id="77"/>
    </w:p>
    <w:p w14:paraId="623D1463">
      <w:pPr>
        <w:pStyle w:val="9"/>
        <w:spacing w:line="0" w:lineRule="atLeast"/>
        <w:jc w:val="center"/>
        <w:outlineLvl w:val="0"/>
      </w:pPr>
      <w:r>
        <w:rPr>
          <w:rFonts w:ascii="Times New Roman" w:hAnsi="Times New Roman"/>
          <w:b/>
          <w:color w:val="0000FF"/>
          <w:sz w:val="72"/>
          <w:szCs w:val="72"/>
        </w:rPr>
        <w:t xml:space="preserve"> </w:t>
      </w:r>
    </w:p>
    <w:p w14:paraId="3F2C79AC">
      <w:pPr>
        <w:pStyle w:val="9"/>
        <w:spacing w:line="0" w:lineRule="atLeast"/>
        <w:jc w:val="center"/>
        <w:outlineLvl w:val="0"/>
        <w:rPr>
          <w:highlight w:val="yellow"/>
        </w:rPr>
      </w:pPr>
      <w:r>
        <w:rPr>
          <w:rFonts w:ascii="Times New Roman" w:hAnsi="Times New Roman"/>
          <w:b/>
          <w:color w:val="0000FF"/>
          <w:sz w:val="72"/>
          <w:szCs w:val="72"/>
        </w:rPr>
        <w:t xml:space="preserve"> </w:t>
      </w:r>
      <w:bookmarkStart w:id="78" w:name="_Toc26442"/>
      <w:bookmarkStart w:id="79" w:name="_Toc6295"/>
      <w:bookmarkStart w:id="80" w:name="_Toc19670"/>
      <w:bookmarkStart w:id="81" w:name="_Toc5933"/>
      <w:bookmarkStart w:id="82" w:name="_Toc21497"/>
      <w:bookmarkStart w:id="83" w:name="_Toc25736"/>
      <w:bookmarkStart w:id="84" w:name="_Toc4601"/>
      <w:bookmarkStart w:id="85" w:name="_Toc29745"/>
      <w:bookmarkStart w:id="86" w:name="_Toc2845"/>
      <w:bookmarkStart w:id="87" w:name="_Toc24807"/>
      <w:bookmarkStart w:id="88" w:name="_Toc29800"/>
      <w:r>
        <w:rPr>
          <w:rFonts w:hAnsi="宋体"/>
          <w:b/>
          <w:sz w:val="32"/>
          <w:szCs w:val="32"/>
        </w:rPr>
        <w:t>（</w:t>
      </w:r>
      <w:r>
        <w:rPr>
          <w:rFonts w:hint="eastAsia" w:hAnsi="宋体"/>
          <w:b/>
          <w:sz w:val="32"/>
          <w:szCs w:val="32"/>
        </w:rPr>
        <w:t>招募</w:t>
      </w:r>
      <w:r>
        <w:rPr>
          <w:rFonts w:hAnsi="宋体"/>
          <w:b/>
          <w:sz w:val="32"/>
          <w:szCs w:val="32"/>
        </w:rPr>
        <w:t>编号：</w:t>
      </w:r>
      <w:r>
        <w:rPr>
          <w:rFonts w:hint="eastAsia"/>
          <w:b/>
          <w:sz w:val="32"/>
          <w:szCs w:val="32"/>
        </w:rPr>
        <w:t>GWRK</w:t>
      </w:r>
      <w:r>
        <w:rPr>
          <w:b/>
          <w:sz w:val="32"/>
          <w:szCs w:val="32"/>
        </w:rPr>
        <w:t>20</w:t>
      </w:r>
      <w:r>
        <w:rPr>
          <w:rFonts w:hint="eastAsia"/>
          <w:b/>
          <w:sz w:val="32"/>
          <w:szCs w:val="32"/>
        </w:rPr>
        <w:t>25</w:t>
      </w:r>
      <w:r>
        <w:rPr>
          <w:b/>
          <w:sz w:val="32"/>
          <w:szCs w:val="32"/>
        </w:rPr>
        <w:t>-</w:t>
      </w:r>
      <w:r>
        <w:rPr>
          <w:rFonts w:hint="eastAsia"/>
          <w:b/>
          <w:sz w:val="32"/>
          <w:szCs w:val="32"/>
        </w:rPr>
        <w:t xml:space="preserve">  </w:t>
      </w:r>
      <w:r>
        <w:rPr>
          <w:b/>
          <w:sz w:val="32"/>
          <w:szCs w:val="32"/>
        </w:rPr>
        <w:t>-</w:t>
      </w:r>
      <w:r>
        <w:rPr>
          <w:rFonts w:hint="eastAsia"/>
          <w:b/>
          <w:sz w:val="32"/>
          <w:szCs w:val="32"/>
        </w:rPr>
        <w:t xml:space="preserve">  </w:t>
      </w:r>
      <w:r>
        <w:rPr>
          <w:rFonts w:hAnsi="宋体"/>
          <w:b/>
          <w:sz w:val="32"/>
          <w:szCs w:val="32"/>
        </w:rPr>
        <w:t>）</w:t>
      </w:r>
      <w:bookmarkEnd w:id="78"/>
      <w:bookmarkEnd w:id="79"/>
      <w:bookmarkEnd w:id="80"/>
      <w:bookmarkEnd w:id="81"/>
      <w:bookmarkEnd w:id="82"/>
      <w:bookmarkEnd w:id="83"/>
      <w:bookmarkEnd w:id="84"/>
      <w:bookmarkEnd w:id="85"/>
      <w:bookmarkEnd w:id="86"/>
      <w:bookmarkEnd w:id="87"/>
      <w:bookmarkEnd w:id="88"/>
    </w:p>
    <w:p w14:paraId="4F4865F1">
      <w:pPr>
        <w:spacing w:line="520" w:lineRule="exact"/>
        <w:jc w:val="center"/>
        <w:rPr>
          <w:rFonts w:ascii="Times New Roman" w:hAnsi="Times New Roman" w:eastAsia="宋体"/>
          <w:szCs w:val="21"/>
        </w:rPr>
      </w:pPr>
      <w:r>
        <w:rPr>
          <w:rFonts w:hint="eastAsia" w:ascii="宋体" w:eastAsia="宋体" w:cs="仿宋_GB2312"/>
          <w:b/>
          <w:kern w:val="0"/>
          <w:sz w:val="32"/>
          <w:szCs w:val="32"/>
        </w:rPr>
        <w:t xml:space="preserve"> </w:t>
      </w:r>
    </w:p>
    <w:p w14:paraId="10497717">
      <w:pPr>
        <w:spacing w:line="520" w:lineRule="exact"/>
        <w:jc w:val="center"/>
        <w:rPr>
          <w:rFonts w:ascii="宋体" w:eastAsia="宋体" w:cs="仿宋_GB2312"/>
          <w:b/>
          <w:kern w:val="0"/>
          <w:sz w:val="32"/>
          <w:szCs w:val="32"/>
        </w:rPr>
      </w:pPr>
      <w:r>
        <w:rPr>
          <w:rFonts w:hint="eastAsia" w:ascii="宋体" w:eastAsia="宋体" w:cs="仿宋_GB2312"/>
          <w:b/>
          <w:kern w:val="0"/>
          <w:sz w:val="32"/>
          <w:szCs w:val="32"/>
        </w:rPr>
        <w:t xml:space="preserve"> </w:t>
      </w:r>
    </w:p>
    <w:p w14:paraId="3703C5A9">
      <w:pPr>
        <w:spacing w:line="520" w:lineRule="exact"/>
        <w:jc w:val="center"/>
        <w:rPr>
          <w:rFonts w:ascii="宋体" w:eastAsia="宋体" w:cs="仿宋_GB2312"/>
          <w:b/>
          <w:kern w:val="0"/>
          <w:sz w:val="32"/>
          <w:szCs w:val="32"/>
        </w:rPr>
      </w:pPr>
    </w:p>
    <w:p w14:paraId="2A7643C9">
      <w:pPr>
        <w:spacing w:line="520" w:lineRule="exact"/>
        <w:jc w:val="center"/>
        <w:rPr>
          <w:rFonts w:ascii="Times New Roman" w:hAnsi="Times New Roman" w:eastAsia="宋体"/>
          <w:szCs w:val="21"/>
        </w:rPr>
      </w:pPr>
      <w:r>
        <w:rPr>
          <w:rFonts w:hint="eastAsia" w:ascii="宋体" w:eastAsia="宋体" w:cs="仿宋_GB2312"/>
          <w:b/>
          <w:kern w:val="0"/>
          <w:sz w:val="32"/>
          <w:szCs w:val="32"/>
        </w:rPr>
        <w:t xml:space="preserve"> </w:t>
      </w:r>
    </w:p>
    <w:p w14:paraId="52D78569">
      <w:pPr>
        <w:spacing w:line="520" w:lineRule="exact"/>
        <w:jc w:val="center"/>
        <w:rPr>
          <w:rFonts w:ascii="宋体" w:eastAsia="宋体" w:cs="仿宋_GB2312"/>
          <w:b/>
          <w:kern w:val="0"/>
          <w:sz w:val="32"/>
          <w:szCs w:val="32"/>
        </w:rPr>
      </w:pPr>
      <w:r>
        <w:rPr>
          <w:rFonts w:hint="eastAsia" w:ascii="宋体" w:eastAsia="宋体" w:cs="仿宋_GB2312"/>
          <w:b/>
          <w:kern w:val="0"/>
          <w:sz w:val="32"/>
          <w:szCs w:val="32"/>
        </w:rPr>
        <w:t>合作方名称：</w:t>
      </w:r>
    </w:p>
    <w:p w14:paraId="7B1BE925">
      <w:pPr>
        <w:spacing w:line="520" w:lineRule="exact"/>
        <w:jc w:val="center"/>
        <w:rPr>
          <w:rFonts w:ascii="宋体" w:eastAsia="宋体" w:cs="仿宋_GB2312"/>
          <w:b/>
          <w:kern w:val="0"/>
          <w:sz w:val="32"/>
          <w:szCs w:val="32"/>
        </w:rPr>
      </w:pPr>
    </w:p>
    <w:p w14:paraId="73C7624F">
      <w:pPr>
        <w:spacing w:line="520" w:lineRule="exact"/>
        <w:ind w:firstLine="643" w:firstLineChars="200"/>
        <w:jc w:val="center"/>
        <w:rPr>
          <w:rFonts w:ascii="宋体" w:eastAsia="宋体"/>
          <w:b/>
          <w:kern w:val="0"/>
          <w:sz w:val="32"/>
          <w:szCs w:val="32"/>
        </w:rPr>
      </w:pPr>
      <w:r>
        <w:rPr>
          <w:rFonts w:hint="eastAsia" w:ascii="宋体" w:eastAsia="宋体"/>
          <w:b/>
          <w:kern w:val="0"/>
          <w:sz w:val="32"/>
          <w:szCs w:val="32"/>
        </w:rPr>
        <w:t>日     期：二零二五年十二月</w:t>
      </w:r>
    </w:p>
    <w:p w14:paraId="02D3A7D3">
      <w:pPr>
        <w:tabs>
          <w:tab w:val="left" w:pos="7572"/>
        </w:tabs>
        <w:spacing w:line="360" w:lineRule="exact"/>
        <w:jc w:val="center"/>
        <w:rPr>
          <w:rFonts w:ascii="宋体" w:eastAsia="宋体"/>
          <w:b/>
          <w:kern w:val="0"/>
          <w:sz w:val="30"/>
          <w:szCs w:val="30"/>
        </w:rPr>
      </w:pPr>
    </w:p>
    <w:p w14:paraId="6ADD4131">
      <w:pPr>
        <w:tabs>
          <w:tab w:val="left" w:pos="7572"/>
        </w:tabs>
        <w:spacing w:line="360" w:lineRule="exact"/>
        <w:jc w:val="center"/>
        <w:rPr>
          <w:rFonts w:ascii="宋体" w:eastAsia="宋体"/>
          <w:b/>
          <w:kern w:val="0"/>
          <w:sz w:val="30"/>
          <w:szCs w:val="30"/>
        </w:rPr>
      </w:pPr>
    </w:p>
    <w:p w14:paraId="63481C38">
      <w:pPr>
        <w:pStyle w:val="4"/>
      </w:pPr>
    </w:p>
    <w:p w14:paraId="23ACEF3C"/>
    <w:p w14:paraId="6A2ACCC4"/>
    <w:p w14:paraId="68CD87DD"/>
    <w:p w14:paraId="087C6BF5"/>
    <w:p w14:paraId="3B342ED6">
      <w:pPr>
        <w:tabs>
          <w:tab w:val="left" w:pos="7572"/>
        </w:tabs>
        <w:spacing w:line="360" w:lineRule="exact"/>
        <w:rPr>
          <w:rFonts w:ascii="宋体" w:eastAsia="宋体"/>
          <w:b/>
          <w:kern w:val="0"/>
          <w:sz w:val="30"/>
          <w:szCs w:val="30"/>
        </w:rPr>
      </w:pPr>
    </w:p>
    <w:p w14:paraId="4F133D38">
      <w:pPr>
        <w:spacing w:line="400" w:lineRule="exact"/>
        <w:jc w:val="center"/>
        <w:rPr>
          <w:rFonts w:ascii="宋体" w:hAnsi="宋体"/>
          <w:bCs/>
          <w:sz w:val="24"/>
        </w:rPr>
      </w:pPr>
      <w:r>
        <w:rPr>
          <w:rFonts w:hint="eastAsia" w:ascii="宋体" w:hAnsi="宋体"/>
          <w:bCs/>
          <w:sz w:val="24"/>
        </w:rPr>
        <w:t>目录</w:t>
      </w:r>
    </w:p>
    <w:p w14:paraId="52347B58">
      <w:pPr>
        <w:spacing w:line="400" w:lineRule="exact"/>
        <w:jc w:val="center"/>
        <w:rPr>
          <w:rFonts w:ascii="宋体" w:hAnsi="宋体"/>
          <w:bCs/>
          <w:sz w:val="24"/>
        </w:rPr>
      </w:pPr>
    </w:p>
    <w:p w14:paraId="77C2170B">
      <w:pPr>
        <w:pStyle w:val="14"/>
        <w:tabs>
          <w:tab w:val="right" w:leader="dot" w:pos="10114"/>
        </w:tabs>
      </w:pPr>
      <w:r>
        <w:rPr>
          <w:rFonts w:ascii="宋体" w:hAnsi="宋体"/>
          <w:bCs/>
          <w:sz w:val="24"/>
        </w:rPr>
        <w:fldChar w:fldCharType="begin"/>
      </w:r>
      <w:r>
        <w:rPr>
          <w:rFonts w:ascii="宋体" w:hAnsi="宋体"/>
          <w:bCs/>
          <w:sz w:val="24"/>
        </w:rPr>
        <w:instrText xml:space="preserve"> TOC \o "1-4" \h \z \u </w:instrText>
      </w:r>
      <w:r>
        <w:rPr>
          <w:rFonts w:ascii="宋体" w:hAnsi="宋体"/>
          <w:bCs/>
          <w:sz w:val="24"/>
        </w:rPr>
        <w:fldChar w:fldCharType="separate"/>
      </w:r>
    </w:p>
    <w:p w14:paraId="52AE979D">
      <w:pPr>
        <w:pStyle w:val="14"/>
        <w:tabs>
          <w:tab w:val="right" w:leader="dot" w:pos="10114"/>
        </w:tabs>
      </w:pPr>
      <w:r>
        <w:fldChar w:fldCharType="begin"/>
      </w:r>
      <w:r>
        <w:instrText xml:space="preserve"> HYPERLINK \l "_Toc25288" </w:instrText>
      </w:r>
      <w:r>
        <w:fldChar w:fldCharType="separate"/>
      </w:r>
      <w:r>
        <w:rPr>
          <w:rFonts w:hint="eastAsia" w:ascii="宋体" w:hAnsi="宋体"/>
          <w:szCs w:val="32"/>
        </w:rPr>
        <w:t>一、评分索引表</w:t>
      </w:r>
      <w:r>
        <w:tab/>
      </w:r>
      <w:r>
        <w:fldChar w:fldCharType="begin"/>
      </w:r>
      <w:r>
        <w:instrText xml:space="preserve"> PAGEREF _Toc25288 \h </w:instrText>
      </w:r>
      <w:r>
        <w:fldChar w:fldCharType="separate"/>
      </w:r>
      <w:r>
        <w:t>25</w:t>
      </w:r>
      <w:r>
        <w:fldChar w:fldCharType="end"/>
      </w:r>
      <w:r>
        <w:fldChar w:fldCharType="end"/>
      </w:r>
    </w:p>
    <w:p w14:paraId="0EC789AE">
      <w:pPr>
        <w:pStyle w:val="14"/>
        <w:tabs>
          <w:tab w:val="right" w:leader="dot" w:pos="10114"/>
        </w:tabs>
      </w:pPr>
      <w:r>
        <w:fldChar w:fldCharType="begin"/>
      </w:r>
      <w:r>
        <w:instrText xml:space="preserve"> HYPERLINK \l "_Toc13642" </w:instrText>
      </w:r>
      <w:r>
        <w:fldChar w:fldCharType="separate"/>
      </w:r>
      <w:r>
        <w:rPr>
          <w:rFonts w:hint="eastAsia" w:ascii="宋体" w:hAnsi="宋体"/>
          <w:szCs w:val="32"/>
        </w:rPr>
        <w:t>二、资格、资质证明文件</w:t>
      </w:r>
      <w:r>
        <w:tab/>
      </w:r>
      <w:r>
        <w:fldChar w:fldCharType="begin"/>
      </w:r>
      <w:r>
        <w:instrText xml:space="preserve"> PAGEREF _Toc13642 \h </w:instrText>
      </w:r>
      <w:r>
        <w:fldChar w:fldCharType="separate"/>
      </w:r>
      <w:r>
        <w:t>26</w:t>
      </w:r>
      <w:r>
        <w:fldChar w:fldCharType="end"/>
      </w:r>
      <w:r>
        <w:fldChar w:fldCharType="end"/>
      </w:r>
    </w:p>
    <w:p w14:paraId="75D36A43">
      <w:pPr>
        <w:pStyle w:val="14"/>
        <w:tabs>
          <w:tab w:val="right" w:leader="dot" w:pos="10114"/>
        </w:tabs>
      </w:pPr>
      <w:r>
        <w:fldChar w:fldCharType="begin"/>
      </w:r>
      <w:r>
        <w:instrText xml:space="preserve"> HYPERLINK \l "_Toc6753" </w:instrText>
      </w:r>
      <w:r>
        <w:fldChar w:fldCharType="separate"/>
      </w:r>
      <w:r>
        <w:rPr>
          <w:rFonts w:hint="eastAsia"/>
          <w:szCs w:val="32"/>
        </w:rPr>
        <w:t>三、企业综合实力评分</w:t>
      </w:r>
      <w:r>
        <w:tab/>
      </w:r>
      <w:r>
        <w:fldChar w:fldCharType="begin"/>
      </w:r>
      <w:r>
        <w:instrText xml:space="preserve"> PAGEREF _Toc6753 \h </w:instrText>
      </w:r>
      <w:r>
        <w:fldChar w:fldCharType="separate"/>
      </w:r>
      <w:r>
        <w:t>34</w:t>
      </w:r>
      <w:r>
        <w:fldChar w:fldCharType="end"/>
      </w:r>
      <w:r>
        <w:fldChar w:fldCharType="end"/>
      </w:r>
    </w:p>
    <w:p w14:paraId="30EF5A7D">
      <w:pPr>
        <w:pStyle w:val="14"/>
        <w:tabs>
          <w:tab w:val="right" w:leader="dot" w:pos="10114"/>
        </w:tabs>
      </w:pPr>
      <w:r>
        <w:fldChar w:fldCharType="begin"/>
      </w:r>
      <w:r>
        <w:instrText xml:space="preserve"> HYPERLINK \l "_Toc28411" </w:instrText>
      </w:r>
      <w:r>
        <w:fldChar w:fldCharType="separate"/>
      </w:r>
      <w:r>
        <w:rPr>
          <w:rFonts w:hint="eastAsia" w:ascii="宋体" w:hAnsi="宋体"/>
          <w:szCs w:val="32"/>
        </w:rPr>
        <w:t>四、</w:t>
      </w:r>
      <w:r>
        <w:rPr>
          <w:rFonts w:hint="eastAsia"/>
          <w:szCs w:val="32"/>
        </w:rPr>
        <w:t>合作分成比例</w:t>
      </w:r>
      <w:r>
        <w:rPr>
          <w:rFonts w:hint="eastAsia" w:ascii="宋体" w:hAnsi="宋体"/>
          <w:szCs w:val="32"/>
        </w:rPr>
        <w:t>评分</w:t>
      </w:r>
      <w:r>
        <w:tab/>
      </w:r>
      <w:r>
        <w:fldChar w:fldCharType="begin"/>
      </w:r>
      <w:r>
        <w:instrText xml:space="preserve"> PAGEREF _Toc28411 \h </w:instrText>
      </w:r>
      <w:r>
        <w:fldChar w:fldCharType="separate"/>
      </w:r>
      <w:r>
        <w:t>35</w:t>
      </w:r>
      <w:r>
        <w:fldChar w:fldCharType="end"/>
      </w:r>
      <w:r>
        <w:fldChar w:fldCharType="end"/>
      </w:r>
    </w:p>
    <w:p w14:paraId="1532A359">
      <w:pPr>
        <w:pStyle w:val="14"/>
        <w:tabs>
          <w:tab w:val="right" w:leader="dot" w:pos="10114"/>
        </w:tabs>
      </w:pPr>
      <w:r>
        <w:fldChar w:fldCharType="begin"/>
      </w:r>
      <w:r>
        <w:instrText xml:space="preserve"> HYPERLINK \l "_Toc22652" </w:instrText>
      </w:r>
      <w:r>
        <w:fldChar w:fldCharType="separate"/>
      </w:r>
      <w:r>
        <w:rPr>
          <w:rFonts w:hint="eastAsia"/>
          <w:szCs w:val="32"/>
        </w:rPr>
        <w:t>附件：招募响应文件的密封和标记</w:t>
      </w:r>
      <w:r>
        <w:tab/>
      </w:r>
      <w:r>
        <w:fldChar w:fldCharType="begin"/>
      </w:r>
      <w:r>
        <w:instrText xml:space="preserve"> PAGEREF _Toc22652 \h </w:instrText>
      </w:r>
      <w:r>
        <w:fldChar w:fldCharType="separate"/>
      </w:r>
      <w:r>
        <w:t>36</w:t>
      </w:r>
      <w:r>
        <w:fldChar w:fldCharType="end"/>
      </w:r>
      <w:r>
        <w:fldChar w:fldCharType="end"/>
      </w:r>
    </w:p>
    <w:p w14:paraId="48F712E5">
      <w:pPr>
        <w:spacing w:line="400" w:lineRule="exact"/>
        <w:jc w:val="center"/>
        <w:rPr>
          <w:rFonts w:ascii="宋体" w:hAnsi="宋体"/>
          <w:sz w:val="24"/>
        </w:rPr>
      </w:pPr>
      <w:r>
        <w:rPr>
          <w:rFonts w:ascii="宋体" w:hAnsi="宋体"/>
          <w:bCs/>
        </w:rPr>
        <w:fldChar w:fldCharType="end"/>
      </w:r>
    </w:p>
    <w:p w14:paraId="57D1FB1C">
      <w:pPr>
        <w:spacing w:line="400" w:lineRule="exact"/>
        <w:jc w:val="center"/>
        <w:rPr>
          <w:rFonts w:ascii="宋体" w:hAnsi="宋体"/>
          <w:sz w:val="24"/>
        </w:rPr>
      </w:pPr>
    </w:p>
    <w:p w14:paraId="47251FB7">
      <w:pPr>
        <w:spacing w:line="400" w:lineRule="exact"/>
        <w:jc w:val="center"/>
        <w:rPr>
          <w:rFonts w:ascii="宋体" w:hAnsi="宋体"/>
          <w:sz w:val="24"/>
        </w:rPr>
      </w:pPr>
    </w:p>
    <w:p w14:paraId="1DE8FAF2">
      <w:pPr>
        <w:spacing w:line="400" w:lineRule="exact"/>
        <w:jc w:val="center"/>
        <w:rPr>
          <w:rFonts w:ascii="宋体" w:hAnsi="宋体"/>
          <w:sz w:val="24"/>
        </w:rPr>
      </w:pPr>
    </w:p>
    <w:p w14:paraId="0AD53481">
      <w:pPr>
        <w:pStyle w:val="4"/>
        <w:rPr>
          <w:rFonts w:ascii="宋体" w:hAnsi="宋体"/>
          <w:sz w:val="24"/>
        </w:rPr>
      </w:pPr>
    </w:p>
    <w:p w14:paraId="45D4153C">
      <w:pPr>
        <w:rPr>
          <w:rFonts w:ascii="宋体" w:hAnsi="宋体"/>
          <w:sz w:val="24"/>
        </w:rPr>
      </w:pPr>
    </w:p>
    <w:p w14:paraId="12717E6A">
      <w:pPr>
        <w:pStyle w:val="4"/>
      </w:pPr>
    </w:p>
    <w:p w14:paraId="40700FD8">
      <w:pPr>
        <w:spacing w:line="400" w:lineRule="exact"/>
        <w:rPr>
          <w:rFonts w:ascii="宋体" w:hAnsi="宋体"/>
          <w:sz w:val="24"/>
        </w:rPr>
      </w:pPr>
    </w:p>
    <w:p w14:paraId="5D62ABBF">
      <w:pPr>
        <w:spacing w:line="400" w:lineRule="exact"/>
        <w:rPr>
          <w:rFonts w:ascii="宋体" w:hAnsi="宋体"/>
          <w:sz w:val="24"/>
        </w:rPr>
      </w:pPr>
    </w:p>
    <w:p w14:paraId="7EFE7CD1">
      <w:pPr>
        <w:spacing w:line="400" w:lineRule="exact"/>
        <w:rPr>
          <w:rFonts w:ascii="宋体" w:hAnsi="宋体"/>
          <w:sz w:val="24"/>
        </w:rPr>
      </w:pPr>
    </w:p>
    <w:p w14:paraId="256CB281">
      <w:pPr>
        <w:spacing w:line="400" w:lineRule="exact"/>
        <w:rPr>
          <w:rFonts w:ascii="宋体" w:hAnsi="宋体"/>
          <w:sz w:val="24"/>
        </w:rPr>
      </w:pPr>
    </w:p>
    <w:p w14:paraId="715004DF">
      <w:pPr>
        <w:spacing w:line="400" w:lineRule="exact"/>
        <w:rPr>
          <w:rFonts w:ascii="宋体" w:hAnsi="宋体"/>
          <w:sz w:val="24"/>
        </w:rPr>
      </w:pPr>
    </w:p>
    <w:p w14:paraId="682BE6C8">
      <w:pPr>
        <w:spacing w:line="400" w:lineRule="exact"/>
        <w:rPr>
          <w:rFonts w:ascii="宋体" w:hAnsi="宋体"/>
          <w:sz w:val="24"/>
        </w:rPr>
      </w:pPr>
    </w:p>
    <w:p w14:paraId="692690E3">
      <w:pPr>
        <w:spacing w:line="400" w:lineRule="exact"/>
        <w:rPr>
          <w:rFonts w:ascii="宋体" w:hAnsi="宋体"/>
          <w:sz w:val="24"/>
        </w:rPr>
      </w:pPr>
    </w:p>
    <w:p w14:paraId="3227D1CE">
      <w:pPr>
        <w:spacing w:line="400" w:lineRule="exact"/>
        <w:rPr>
          <w:rFonts w:ascii="宋体" w:hAnsi="宋体"/>
          <w:sz w:val="24"/>
        </w:rPr>
      </w:pPr>
    </w:p>
    <w:p w14:paraId="393E8634">
      <w:pPr>
        <w:spacing w:line="400" w:lineRule="exact"/>
        <w:rPr>
          <w:rFonts w:ascii="宋体" w:hAnsi="宋体"/>
          <w:sz w:val="24"/>
        </w:rPr>
      </w:pPr>
    </w:p>
    <w:p w14:paraId="1A4A07B7">
      <w:pPr>
        <w:spacing w:line="400" w:lineRule="exact"/>
        <w:rPr>
          <w:rFonts w:ascii="宋体" w:hAnsi="宋体"/>
          <w:sz w:val="24"/>
        </w:rPr>
      </w:pPr>
    </w:p>
    <w:p w14:paraId="1A4E2D70">
      <w:pPr>
        <w:spacing w:line="400" w:lineRule="exact"/>
        <w:rPr>
          <w:rFonts w:ascii="宋体" w:hAnsi="宋体"/>
          <w:sz w:val="24"/>
        </w:rPr>
      </w:pPr>
    </w:p>
    <w:p w14:paraId="4FB74CC0">
      <w:pPr>
        <w:spacing w:line="400" w:lineRule="exact"/>
        <w:rPr>
          <w:rFonts w:ascii="宋体" w:hAnsi="宋体"/>
          <w:sz w:val="24"/>
        </w:rPr>
      </w:pPr>
    </w:p>
    <w:p w14:paraId="55AEFD5C">
      <w:pPr>
        <w:spacing w:line="400" w:lineRule="exact"/>
        <w:rPr>
          <w:rFonts w:ascii="宋体" w:hAnsi="宋体"/>
          <w:sz w:val="24"/>
        </w:rPr>
      </w:pPr>
    </w:p>
    <w:p w14:paraId="7E9C46E2">
      <w:pPr>
        <w:spacing w:line="400" w:lineRule="exact"/>
        <w:rPr>
          <w:rFonts w:ascii="宋体" w:hAnsi="宋体"/>
          <w:sz w:val="24"/>
        </w:rPr>
      </w:pPr>
    </w:p>
    <w:p w14:paraId="0B83F7B7">
      <w:pPr>
        <w:spacing w:line="400" w:lineRule="exact"/>
        <w:rPr>
          <w:rFonts w:ascii="宋体" w:hAnsi="宋体"/>
          <w:sz w:val="24"/>
        </w:rPr>
      </w:pPr>
    </w:p>
    <w:p w14:paraId="658BF843">
      <w:pPr>
        <w:spacing w:line="400" w:lineRule="exact"/>
        <w:rPr>
          <w:rFonts w:ascii="宋体" w:hAnsi="宋体"/>
          <w:sz w:val="24"/>
        </w:rPr>
      </w:pPr>
    </w:p>
    <w:p w14:paraId="2D0833E2">
      <w:pPr>
        <w:spacing w:line="400" w:lineRule="exact"/>
        <w:rPr>
          <w:rFonts w:ascii="宋体" w:hAnsi="宋体"/>
          <w:sz w:val="24"/>
        </w:rPr>
      </w:pPr>
    </w:p>
    <w:p w14:paraId="1B0F5D67">
      <w:pPr>
        <w:spacing w:line="400" w:lineRule="exact"/>
        <w:rPr>
          <w:rFonts w:ascii="宋体" w:hAnsi="宋体"/>
          <w:sz w:val="24"/>
        </w:rPr>
      </w:pPr>
    </w:p>
    <w:p w14:paraId="73B23EAF">
      <w:pPr>
        <w:pStyle w:val="2"/>
        <w:numPr>
          <w:ilvl w:val="0"/>
          <w:numId w:val="11"/>
        </w:numPr>
        <w:spacing w:line="400" w:lineRule="exact"/>
        <w:rPr>
          <w:rFonts w:ascii="宋体" w:hAnsi="宋体"/>
          <w:sz w:val="32"/>
          <w:szCs w:val="32"/>
        </w:rPr>
      </w:pPr>
      <w:bookmarkStart w:id="89" w:name="_Toc25288"/>
      <w:bookmarkStart w:id="90" w:name="_Toc18691"/>
      <w:bookmarkStart w:id="91" w:name="_Toc29510"/>
      <w:bookmarkStart w:id="92" w:name="_Toc27419"/>
      <w:bookmarkStart w:id="93" w:name="_Toc29093"/>
      <w:r>
        <w:rPr>
          <w:rFonts w:hint="eastAsia" w:ascii="宋体" w:hAnsi="宋体"/>
          <w:sz w:val="32"/>
          <w:szCs w:val="32"/>
        </w:rPr>
        <w:t>评分索引表</w:t>
      </w:r>
      <w:bookmarkEnd w:id="89"/>
      <w:bookmarkEnd w:id="90"/>
      <w:bookmarkEnd w:id="91"/>
      <w:bookmarkEnd w:id="92"/>
      <w:bookmarkEnd w:id="93"/>
    </w:p>
    <w:p w14:paraId="6BA5B4A1">
      <w:pPr>
        <w:jc w:val="center"/>
      </w:pPr>
      <w:r>
        <w:rPr>
          <w:rFonts w:hint="eastAsia"/>
          <w:b/>
          <w:bCs/>
          <w:sz w:val="28"/>
          <w:szCs w:val="28"/>
        </w:rPr>
        <w:t>招募评审办法</w:t>
      </w:r>
    </w:p>
    <w:tbl>
      <w:tblPr>
        <w:tblStyle w:val="1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356"/>
        <w:gridCol w:w="2870"/>
        <w:gridCol w:w="1931"/>
      </w:tblGrid>
      <w:tr w14:paraId="7177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88" w:type="dxa"/>
            <w:vAlign w:val="center"/>
          </w:tcPr>
          <w:p w14:paraId="2B1ABDB3">
            <w:pPr>
              <w:jc w:val="center"/>
              <w:rPr>
                <w:rFonts w:ascii="宋体"/>
                <w:kern w:val="0"/>
                <w:sz w:val="24"/>
              </w:rPr>
            </w:pPr>
            <w:r>
              <w:rPr>
                <w:rFonts w:hint="eastAsia" w:ascii="宋体"/>
                <w:kern w:val="0"/>
                <w:sz w:val="24"/>
              </w:rPr>
              <w:t>序号</w:t>
            </w:r>
          </w:p>
        </w:tc>
        <w:tc>
          <w:tcPr>
            <w:tcW w:w="3356" w:type="dxa"/>
            <w:vAlign w:val="center"/>
          </w:tcPr>
          <w:p w14:paraId="001AB39A">
            <w:pPr>
              <w:jc w:val="center"/>
              <w:rPr>
                <w:rFonts w:ascii="宋体"/>
                <w:kern w:val="0"/>
                <w:sz w:val="24"/>
              </w:rPr>
            </w:pPr>
            <w:r>
              <w:rPr>
                <w:rFonts w:hint="eastAsia" w:ascii="宋体"/>
                <w:kern w:val="0"/>
                <w:sz w:val="24"/>
              </w:rPr>
              <w:t>评分条件</w:t>
            </w:r>
          </w:p>
        </w:tc>
        <w:tc>
          <w:tcPr>
            <w:tcW w:w="2870" w:type="dxa"/>
            <w:vAlign w:val="center"/>
          </w:tcPr>
          <w:p w14:paraId="22162398">
            <w:pPr>
              <w:jc w:val="center"/>
              <w:rPr>
                <w:rFonts w:ascii="宋体"/>
                <w:kern w:val="0"/>
                <w:sz w:val="24"/>
              </w:rPr>
            </w:pPr>
            <w:r>
              <w:rPr>
                <w:rFonts w:hint="eastAsia" w:ascii="宋体"/>
                <w:kern w:val="0"/>
                <w:sz w:val="24"/>
              </w:rPr>
              <w:t>评审内容</w:t>
            </w:r>
          </w:p>
        </w:tc>
        <w:tc>
          <w:tcPr>
            <w:tcW w:w="1931" w:type="dxa"/>
            <w:vAlign w:val="center"/>
          </w:tcPr>
          <w:p w14:paraId="5AFE1BE4">
            <w:pPr>
              <w:jc w:val="center"/>
              <w:rPr>
                <w:rFonts w:ascii="宋体"/>
                <w:kern w:val="0"/>
                <w:sz w:val="24"/>
              </w:rPr>
            </w:pPr>
            <w:r>
              <w:rPr>
                <w:rFonts w:hint="eastAsia" w:ascii="宋体"/>
                <w:kern w:val="0"/>
                <w:sz w:val="24"/>
              </w:rPr>
              <w:t>分值范围和说明</w:t>
            </w:r>
          </w:p>
        </w:tc>
      </w:tr>
      <w:tr w14:paraId="1BC2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8" w:type="dxa"/>
            <w:vAlign w:val="center"/>
          </w:tcPr>
          <w:p w14:paraId="26BDE694">
            <w:pPr>
              <w:jc w:val="center"/>
              <w:rPr>
                <w:rFonts w:ascii="宋体"/>
                <w:kern w:val="0"/>
                <w:sz w:val="24"/>
              </w:rPr>
            </w:pPr>
            <w:r>
              <w:rPr>
                <w:rFonts w:ascii="宋体"/>
                <w:kern w:val="0"/>
                <w:sz w:val="24"/>
              </w:rPr>
              <w:t>1</w:t>
            </w:r>
          </w:p>
        </w:tc>
        <w:tc>
          <w:tcPr>
            <w:tcW w:w="3356" w:type="dxa"/>
            <w:vAlign w:val="center"/>
          </w:tcPr>
          <w:p w14:paraId="38E9AC20">
            <w:pPr>
              <w:jc w:val="center"/>
              <w:rPr>
                <w:rFonts w:ascii="宋体"/>
                <w:kern w:val="0"/>
                <w:sz w:val="24"/>
              </w:rPr>
            </w:pPr>
            <w:r>
              <w:rPr>
                <w:rFonts w:hint="eastAsia" w:ascii="宋体"/>
                <w:kern w:val="0"/>
                <w:sz w:val="24"/>
              </w:rPr>
              <w:t>企业综合实力评分</w:t>
            </w:r>
          </w:p>
          <w:p w14:paraId="221A9F01">
            <w:pPr>
              <w:jc w:val="center"/>
              <w:rPr>
                <w:rFonts w:ascii="宋体"/>
                <w:kern w:val="0"/>
                <w:sz w:val="24"/>
              </w:rPr>
            </w:pPr>
            <w:r>
              <w:rPr>
                <w:rFonts w:ascii="宋体"/>
                <w:kern w:val="0"/>
                <w:sz w:val="24"/>
              </w:rPr>
              <w:t>5</w:t>
            </w:r>
            <w:r>
              <w:rPr>
                <w:rFonts w:hint="eastAsia" w:ascii="宋体"/>
                <w:kern w:val="0"/>
                <w:sz w:val="24"/>
              </w:rPr>
              <w:t>0分</w:t>
            </w:r>
          </w:p>
        </w:tc>
        <w:tc>
          <w:tcPr>
            <w:tcW w:w="2870" w:type="dxa"/>
            <w:vAlign w:val="center"/>
          </w:tcPr>
          <w:p w14:paraId="49825E0D">
            <w:pPr>
              <w:jc w:val="center"/>
              <w:rPr>
                <w:rFonts w:ascii="宋体"/>
                <w:kern w:val="0"/>
                <w:sz w:val="24"/>
                <w:highlight w:val="green"/>
              </w:rPr>
            </w:pPr>
            <w:r>
              <w:rPr>
                <w:rFonts w:hint="eastAsia" w:ascii="宋体"/>
                <w:kern w:val="0"/>
                <w:sz w:val="24"/>
              </w:rPr>
              <w:t>公司实力</w:t>
            </w:r>
          </w:p>
        </w:tc>
        <w:tc>
          <w:tcPr>
            <w:tcW w:w="1931" w:type="dxa"/>
            <w:vAlign w:val="center"/>
          </w:tcPr>
          <w:p w14:paraId="28AC7E59">
            <w:pPr>
              <w:jc w:val="center"/>
              <w:rPr>
                <w:rFonts w:ascii="宋体"/>
                <w:kern w:val="0"/>
                <w:sz w:val="24"/>
              </w:rPr>
            </w:pPr>
            <w:r>
              <w:rPr>
                <w:rFonts w:hint="eastAsia" w:ascii="宋体"/>
                <w:kern w:val="0"/>
                <w:sz w:val="24"/>
              </w:rPr>
              <w:t>（</w:t>
            </w:r>
            <w:r>
              <w:rPr>
                <w:rFonts w:ascii="宋体"/>
                <w:kern w:val="0"/>
                <w:sz w:val="24"/>
              </w:rPr>
              <w:t>0-5</w:t>
            </w:r>
            <w:r>
              <w:rPr>
                <w:rFonts w:hint="eastAsia" w:ascii="宋体"/>
                <w:kern w:val="0"/>
                <w:sz w:val="24"/>
              </w:rPr>
              <w:t>0分）</w:t>
            </w:r>
          </w:p>
        </w:tc>
      </w:tr>
      <w:tr w14:paraId="12EA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8" w:type="dxa"/>
            <w:vAlign w:val="center"/>
          </w:tcPr>
          <w:p w14:paraId="1422DB4B">
            <w:pPr>
              <w:jc w:val="center"/>
              <w:rPr>
                <w:rFonts w:ascii="宋体"/>
                <w:kern w:val="0"/>
                <w:sz w:val="24"/>
              </w:rPr>
            </w:pPr>
            <w:r>
              <w:rPr>
                <w:rFonts w:hint="eastAsia" w:ascii="宋体"/>
                <w:kern w:val="0"/>
                <w:sz w:val="24"/>
              </w:rPr>
              <w:t>2</w:t>
            </w:r>
          </w:p>
        </w:tc>
        <w:tc>
          <w:tcPr>
            <w:tcW w:w="3356" w:type="dxa"/>
            <w:vAlign w:val="center"/>
          </w:tcPr>
          <w:p w14:paraId="1A6149D3">
            <w:pPr>
              <w:jc w:val="center"/>
              <w:rPr>
                <w:rFonts w:ascii="宋体"/>
                <w:kern w:val="0"/>
                <w:sz w:val="24"/>
              </w:rPr>
            </w:pPr>
            <w:r>
              <w:rPr>
                <w:rFonts w:hint="eastAsia" w:ascii="宋体"/>
                <w:kern w:val="0"/>
                <w:sz w:val="24"/>
              </w:rPr>
              <w:t>合作分成比例评分</w:t>
            </w:r>
          </w:p>
          <w:p w14:paraId="7A7B3276">
            <w:pPr>
              <w:jc w:val="center"/>
              <w:rPr>
                <w:rFonts w:ascii="宋体"/>
                <w:kern w:val="0"/>
                <w:sz w:val="24"/>
              </w:rPr>
            </w:pPr>
            <w:r>
              <w:rPr>
                <w:rFonts w:hint="eastAsia" w:ascii="宋体"/>
                <w:kern w:val="0"/>
                <w:sz w:val="24"/>
              </w:rPr>
              <w:t>50分</w:t>
            </w:r>
          </w:p>
        </w:tc>
        <w:tc>
          <w:tcPr>
            <w:tcW w:w="2870" w:type="dxa"/>
            <w:vAlign w:val="center"/>
          </w:tcPr>
          <w:p w14:paraId="0DCF7C3F">
            <w:pPr>
              <w:jc w:val="center"/>
              <w:rPr>
                <w:rFonts w:ascii="宋体"/>
                <w:kern w:val="0"/>
                <w:sz w:val="24"/>
              </w:rPr>
            </w:pPr>
            <w:r>
              <w:rPr>
                <w:rFonts w:hint="eastAsia" w:ascii="宋体"/>
                <w:kern w:val="0"/>
                <w:sz w:val="24"/>
              </w:rPr>
              <w:t>合作分成比例</w:t>
            </w:r>
          </w:p>
        </w:tc>
        <w:tc>
          <w:tcPr>
            <w:tcW w:w="1931" w:type="dxa"/>
            <w:vAlign w:val="center"/>
          </w:tcPr>
          <w:p w14:paraId="769EC670">
            <w:pPr>
              <w:jc w:val="center"/>
              <w:rPr>
                <w:rFonts w:ascii="宋体"/>
                <w:kern w:val="0"/>
                <w:sz w:val="24"/>
              </w:rPr>
            </w:pPr>
            <w:r>
              <w:rPr>
                <w:rFonts w:hint="eastAsia" w:ascii="宋体"/>
                <w:kern w:val="0"/>
                <w:sz w:val="24"/>
              </w:rPr>
              <w:t>（</w:t>
            </w:r>
            <w:r>
              <w:rPr>
                <w:rFonts w:ascii="宋体"/>
                <w:kern w:val="0"/>
                <w:sz w:val="24"/>
              </w:rPr>
              <w:t>0-5</w:t>
            </w:r>
            <w:r>
              <w:rPr>
                <w:rFonts w:hint="eastAsia" w:ascii="宋体"/>
                <w:kern w:val="0"/>
                <w:sz w:val="24"/>
              </w:rPr>
              <w:t>0分）</w:t>
            </w:r>
          </w:p>
        </w:tc>
      </w:tr>
    </w:tbl>
    <w:p w14:paraId="3DB3BCA9"/>
    <w:p w14:paraId="0F19BD24">
      <w:pPr>
        <w:jc w:val="center"/>
      </w:pPr>
      <w:r>
        <w:rPr>
          <w:rFonts w:hint="eastAsia"/>
          <w:b/>
          <w:bCs/>
          <w:sz w:val="28"/>
          <w:szCs w:val="28"/>
        </w:rPr>
        <w:t>评分索引表</w:t>
      </w:r>
    </w:p>
    <w:tbl>
      <w:tblPr>
        <w:tblStyle w:val="18"/>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2"/>
        <w:gridCol w:w="2145"/>
        <w:gridCol w:w="2205"/>
        <w:gridCol w:w="1056"/>
      </w:tblGrid>
      <w:tr w14:paraId="3078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2" w:type="dxa"/>
            <w:vAlign w:val="center"/>
          </w:tcPr>
          <w:p w14:paraId="21540606">
            <w:pPr>
              <w:jc w:val="center"/>
              <w:rPr>
                <w:sz w:val="24"/>
              </w:rPr>
            </w:pPr>
          </w:p>
          <w:p w14:paraId="6903C8D9">
            <w:pPr>
              <w:jc w:val="center"/>
              <w:rPr>
                <w:sz w:val="24"/>
              </w:rPr>
            </w:pPr>
            <w:r>
              <w:rPr>
                <w:rFonts w:hint="eastAsia"/>
                <w:sz w:val="24"/>
              </w:rPr>
              <w:t>评分内容</w:t>
            </w:r>
          </w:p>
        </w:tc>
        <w:tc>
          <w:tcPr>
            <w:tcW w:w="2145" w:type="dxa"/>
            <w:vAlign w:val="center"/>
          </w:tcPr>
          <w:p w14:paraId="3CAE9EF5">
            <w:pPr>
              <w:jc w:val="center"/>
              <w:rPr>
                <w:sz w:val="24"/>
              </w:rPr>
            </w:pPr>
          </w:p>
          <w:p w14:paraId="4F3C59A7">
            <w:pPr>
              <w:jc w:val="center"/>
              <w:rPr>
                <w:sz w:val="24"/>
              </w:rPr>
            </w:pPr>
            <w:r>
              <w:rPr>
                <w:rFonts w:hint="eastAsia"/>
                <w:sz w:val="24"/>
              </w:rPr>
              <w:t>评审项目</w:t>
            </w:r>
          </w:p>
        </w:tc>
        <w:tc>
          <w:tcPr>
            <w:tcW w:w="2205" w:type="dxa"/>
            <w:vAlign w:val="center"/>
          </w:tcPr>
          <w:p w14:paraId="775D29F8">
            <w:pPr>
              <w:jc w:val="center"/>
              <w:rPr>
                <w:sz w:val="24"/>
              </w:rPr>
            </w:pPr>
          </w:p>
          <w:p w14:paraId="512B34A0">
            <w:pPr>
              <w:jc w:val="center"/>
              <w:rPr>
                <w:sz w:val="24"/>
              </w:rPr>
            </w:pPr>
            <w:r>
              <w:rPr>
                <w:rFonts w:hint="eastAsia"/>
                <w:sz w:val="24"/>
              </w:rPr>
              <w:t>响应文件相应页码</w:t>
            </w:r>
          </w:p>
        </w:tc>
        <w:tc>
          <w:tcPr>
            <w:tcW w:w="1056" w:type="dxa"/>
            <w:vAlign w:val="center"/>
          </w:tcPr>
          <w:p w14:paraId="47368B9D">
            <w:pPr>
              <w:jc w:val="center"/>
              <w:rPr>
                <w:sz w:val="24"/>
              </w:rPr>
            </w:pPr>
          </w:p>
          <w:p w14:paraId="73C61871">
            <w:pPr>
              <w:jc w:val="center"/>
              <w:rPr>
                <w:sz w:val="24"/>
              </w:rPr>
            </w:pPr>
            <w:r>
              <w:rPr>
                <w:rFonts w:hint="eastAsia"/>
                <w:sz w:val="24"/>
              </w:rPr>
              <w:t>自评分</w:t>
            </w:r>
          </w:p>
        </w:tc>
      </w:tr>
      <w:tr w14:paraId="745D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3532" w:type="dxa"/>
            <w:vMerge w:val="restart"/>
            <w:vAlign w:val="center"/>
          </w:tcPr>
          <w:p w14:paraId="60D9D2CA">
            <w:pPr>
              <w:jc w:val="center"/>
              <w:rPr>
                <w:rFonts w:ascii="宋体"/>
                <w:kern w:val="0"/>
                <w:sz w:val="24"/>
              </w:rPr>
            </w:pPr>
            <w:r>
              <w:rPr>
                <w:rFonts w:hint="eastAsia" w:ascii="宋体"/>
                <w:kern w:val="0"/>
                <w:sz w:val="24"/>
              </w:rPr>
              <w:t>企业综合实力评分</w:t>
            </w:r>
          </w:p>
          <w:p w14:paraId="6FA150FC">
            <w:pPr>
              <w:jc w:val="center"/>
              <w:rPr>
                <w:rFonts w:ascii="宋体"/>
                <w:kern w:val="0"/>
                <w:sz w:val="24"/>
              </w:rPr>
            </w:pPr>
            <w:r>
              <w:rPr>
                <w:rFonts w:ascii="宋体"/>
                <w:kern w:val="0"/>
                <w:sz w:val="24"/>
              </w:rPr>
              <w:t>5</w:t>
            </w:r>
            <w:r>
              <w:rPr>
                <w:rFonts w:hint="eastAsia" w:ascii="宋体"/>
                <w:kern w:val="0"/>
                <w:sz w:val="24"/>
              </w:rPr>
              <w:t>0分</w:t>
            </w:r>
          </w:p>
        </w:tc>
        <w:tc>
          <w:tcPr>
            <w:tcW w:w="2145" w:type="dxa"/>
            <w:vAlign w:val="center"/>
          </w:tcPr>
          <w:p w14:paraId="1FD640C7">
            <w:pPr>
              <w:jc w:val="center"/>
              <w:rPr>
                <w:rFonts w:ascii="宋体"/>
                <w:kern w:val="0"/>
                <w:sz w:val="24"/>
              </w:rPr>
            </w:pPr>
            <w:r>
              <w:rPr>
                <w:rFonts w:hint="eastAsia" w:ascii="宋体"/>
                <w:kern w:val="0"/>
                <w:sz w:val="24"/>
              </w:rPr>
              <w:t>公司实力</w:t>
            </w:r>
          </w:p>
        </w:tc>
        <w:tc>
          <w:tcPr>
            <w:tcW w:w="2205" w:type="dxa"/>
          </w:tcPr>
          <w:p w14:paraId="065BE73C">
            <w:pPr>
              <w:jc w:val="center"/>
              <w:rPr>
                <w:rFonts w:ascii="宋体"/>
                <w:kern w:val="0"/>
                <w:sz w:val="24"/>
              </w:rPr>
            </w:pPr>
          </w:p>
        </w:tc>
        <w:tc>
          <w:tcPr>
            <w:tcW w:w="1056" w:type="dxa"/>
          </w:tcPr>
          <w:p w14:paraId="2D576FA1">
            <w:pPr>
              <w:jc w:val="center"/>
              <w:rPr>
                <w:rFonts w:ascii="宋体"/>
                <w:kern w:val="0"/>
                <w:sz w:val="24"/>
              </w:rPr>
            </w:pPr>
          </w:p>
        </w:tc>
      </w:tr>
      <w:tr w14:paraId="1805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532" w:type="dxa"/>
            <w:vAlign w:val="center"/>
          </w:tcPr>
          <w:p w14:paraId="5942239C">
            <w:pPr>
              <w:jc w:val="center"/>
              <w:rPr>
                <w:rFonts w:ascii="宋体"/>
                <w:kern w:val="0"/>
                <w:sz w:val="24"/>
              </w:rPr>
            </w:pPr>
            <w:r>
              <w:rPr>
                <w:rFonts w:hint="eastAsia" w:ascii="宋体"/>
                <w:kern w:val="0"/>
                <w:sz w:val="24"/>
              </w:rPr>
              <w:t>合作分成比例评分</w:t>
            </w:r>
          </w:p>
          <w:p w14:paraId="5E5844C0">
            <w:pPr>
              <w:jc w:val="center"/>
              <w:rPr>
                <w:rFonts w:ascii="宋体"/>
                <w:kern w:val="0"/>
                <w:sz w:val="24"/>
              </w:rPr>
            </w:pPr>
            <w:r>
              <w:rPr>
                <w:rFonts w:ascii="宋体"/>
                <w:kern w:val="0"/>
                <w:sz w:val="24"/>
              </w:rPr>
              <w:t>5</w:t>
            </w:r>
            <w:r>
              <w:rPr>
                <w:rFonts w:hint="eastAsia" w:ascii="宋体"/>
                <w:kern w:val="0"/>
                <w:sz w:val="24"/>
              </w:rPr>
              <w:t>0分</w:t>
            </w:r>
          </w:p>
        </w:tc>
        <w:tc>
          <w:tcPr>
            <w:tcW w:w="2145" w:type="dxa"/>
            <w:vAlign w:val="center"/>
          </w:tcPr>
          <w:p w14:paraId="19DA0302">
            <w:pPr>
              <w:jc w:val="center"/>
              <w:rPr>
                <w:rFonts w:ascii="宋体"/>
                <w:kern w:val="0"/>
                <w:sz w:val="24"/>
              </w:rPr>
            </w:pPr>
            <w:r>
              <w:rPr>
                <w:rFonts w:hint="eastAsia" w:ascii="宋体"/>
                <w:kern w:val="0"/>
                <w:sz w:val="24"/>
              </w:rPr>
              <w:t>合作分成比例</w:t>
            </w:r>
          </w:p>
        </w:tc>
        <w:tc>
          <w:tcPr>
            <w:tcW w:w="2205" w:type="dxa"/>
          </w:tcPr>
          <w:p w14:paraId="03937A20">
            <w:pPr>
              <w:jc w:val="center"/>
              <w:rPr>
                <w:rFonts w:ascii="宋体"/>
                <w:kern w:val="0"/>
                <w:sz w:val="24"/>
              </w:rPr>
            </w:pPr>
          </w:p>
        </w:tc>
        <w:tc>
          <w:tcPr>
            <w:tcW w:w="1056" w:type="dxa"/>
          </w:tcPr>
          <w:p w14:paraId="7A4FD338">
            <w:pPr>
              <w:jc w:val="center"/>
              <w:rPr>
                <w:rFonts w:ascii="宋体"/>
                <w:kern w:val="0"/>
                <w:sz w:val="24"/>
              </w:rPr>
            </w:pPr>
          </w:p>
        </w:tc>
      </w:tr>
    </w:tbl>
    <w:p w14:paraId="285F0F0B"/>
    <w:p w14:paraId="4692FB7D"/>
    <w:p w14:paraId="6447ED24"/>
    <w:p w14:paraId="76A53F1D"/>
    <w:p w14:paraId="54AAF77A"/>
    <w:p w14:paraId="53559B64"/>
    <w:p w14:paraId="5A945271"/>
    <w:p w14:paraId="43CFC6A9"/>
    <w:p w14:paraId="5BC5AA5B">
      <w:pPr>
        <w:shd w:val="clear" w:color="auto" w:fill="FFFFFF"/>
        <w:spacing w:line="400" w:lineRule="exact"/>
        <w:ind w:firstLine="560"/>
        <w:rPr>
          <w:rFonts w:asciiTheme="minorEastAsia" w:hAnsiTheme="minorEastAsia" w:cstheme="minorEastAsia"/>
          <w:sz w:val="28"/>
          <w:szCs w:val="28"/>
        </w:rPr>
      </w:pPr>
      <w:bookmarkStart w:id="94" w:name="_Toc29914"/>
      <w:r>
        <w:rPr>
          <w:rFonts w:hint="eastAsia" w:asciiTheme="minorEastAsia" w:hAnsiTheme="minorEastAsia" w:cstheme="minorEastAsia"/>
          <w:sz w:val="28"/>
          <w:szCs w:val="28"/>
        </w:rPr>
        <w:t>合作方名称（公章）：</w:t>
      </w:r>
      <w:bookmarkEnd w:id="94"/>
    </w:p>
    <w:p w14:paraId="1DF686EE">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法定代表人签字（或盖章）：                        </w:t>
      </w:r>
    </w:p>
    <w:p w14:paraId="31B2510B">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6DACE975">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         年    月    日</w:t>
      </w:r>
      <w:bookmarkStart w:id="95" w:name="_Toc30305"/>
      <w:bookmarkStart w:id="96" w:name="_Toc22916"/>
    </w:p>
    <w:p w14:paraId="050F1667">
      <w:pPr>
        <w:shd w:val="clear" w:color="auto" w:fill="FFFFFF"/>
        <w:spacing w:line="400" w:lineRule="exact"/>
        <w:ind w:firstLine="560"/>
        <w:rPr>
          <w:rFonts w:asciiTheme="minorEastAsia" w:hAnsiTheme="minorEastAsia" w:cstheme="minorEastAsia"/>
          <w:sz w:val="28"/>
          <w:szCs w:val="28"/>
        </w:rPr>
      </w:pPr>
    </w:p>
    <w:p w14:paraId="274BB9A8">
      <w:pPr>
        <w:shd w:val="clear" w:color="auto" w:fill="FFFFFF"/>
        <w:spacing w:line="400" w:lineRule="exact"/>
        <w:ind w:firstLine="560"/>
        <w:rPr>
          <w:rFonts w:asciiTheme="minorEastAsia" w:hAnsiTheme="minorEastAsia" w:cstheme="minorEastAsia"/>
          <w:sz w:val="28"/>
          <w:szCs w:val="28"/>
        </w:rPr>
      </w:pPr>
    </w:p>
    <w:p w14:paraId="61BB97C1">
      <w:pPr>
        <w:shd w:val="clear" w:color="auto" w:fill="FFFFFF"/>
        <w:spacing w:line="400" w:lineRule="exact"/>
        <w:ind w:firstLine="560"/>
        <w:rPr>
          <w:rFonts w:asciiTheme="minorEastAsia" w:hAnsiTheme="minorEastAsia" w:cstheme="minorEastAsia"/>
          <w:sz w:val="28"/>
          <w:szCs w:val="28"/>
        </w:rPr>
      </w:pPr>
    </w:p>
    <w:p w14:paraId="1C02BACB">
      <w:pPr>
        <w:shd w:val="clear" w:color="auto" w:fill="FFFFFF"/>
        <w:spacing w:line="400" w:lineRule="exact"/>
        <w:ind w:firstLine="560"/>
        <w:rPr>
          <w:rFonts w:asciiTheme="minorEastAsia" w:hAnsiTheme="minorEastAsia" w:cstheme="minorEastAsia"/>
          <w:sz w:val="28"/>
          <w:szCs w:val="28"/>
        </w:rPr>
      </w:pPr>
    </w:p>
    <w:p w14:paraId="7ECFCB8E">
      <w:pPr>
        <w:shd w:val="clear" w:color="auto" w:fill="FFFFFF"/>
        <w:spacing w:line="400" w:lineRule="exact"/>
        <w:ind w:firstLine="560"/>
        <w:rPr>
          <w:rFonts w:asciiTheme="minorEastAsia" w:hAnsiTheme="minorEastAsia" w:cstheme="minorEastAsia"/>
          <w:sz w:val="28"/>
          <w:szCs w:val="28"/>
        </w:rPr>
      </w:pPr>
    </w:p>
    <w:p w14:paraId="57C9489A">
      <w:pPr>
        <w:pStyle w:val="2"/>
        <w:spacing w:line="400" w:lineRule="exact"/>
        <w:rPr>
          <w:rFonts w:ascii="宋体" w:hAnsi="宋体"/>
          <w:sz w:val="32"/>
          <w:szCs w:val="32"/>
        </w:rPr>
      </w:pPr>
      <w:bookmarkStart w:id="97" w:name="_Toc27795"/>
      <w:bookmarkStart w:id="98" w:name="_Toc13642"/>
      <w:bookmarkStart w:id="99" w:name="_Toc5969"/>
      <w:r>
        <w:rPr>
          <w:rFonts w:hint="eastAsia" w:ascii="宋体" w:hAnsi="宋体"/>
          <w:sz w:val="32"/>
          <w:szCs w:val="32"/>
        </w:rPr>
        <w:t>二、资格、资质证明文件</w:t>
      </w:r>
      <w:bookmarkEnd w:id="95"/>
      <w:bookmarkEnd w:id="96"/>
      <w:bookmarkEnd w:id="97"/>
      <w:bookmarkEnd w:id="98"/>
      <w:bookmarkEnd w:id="99"/>
    </w:p>
    <w:p w14:paraId="577A1A35">
      <w:pPr>
        <w:rPr>
          <w:rFonts w:asciiTheme="minorEastAsia" w:hAnsiTheme="minorEastAsia" w:cstheme="minorEastAsia"/>
          <w:sz w:val="28"/>
          <w:szCs w:val="28"/>
        </w:rPr>
      </w:pPr>
      <w:bookmarkStart w:id="100" w:name="_Toc5220"/>
      <w:bookmarkStart w:id="101" w:name="_Toc13226"/>
      <w:bookmarkStart w:id="102" w:name="_Toc13160"/>
      <w:r>
        <w:rPr>
          <w:rFonts w:hint="eastAsia" w:asciiTheme="minorEastAsia" w:hAnsiTheme="minorEastAsia" w:cstheme="minorEastAsia"/>
          <w:sz w:val="28"/>
          <w:szCs w:val="28"/>
        </w:rPr>
        <w:t>（一）招募对象应是具有独立法人资格，有能力提供相关内容及服务的国内企业(招募对象应提供合格有效的三证合一的企业法人营业执照副本复印件，并加盖单位公章)。</w:t>
      </w:r>
    </w:p>
    <w:p w14:paraId="7141DEA5"/>
    <w:tbl>
      <w:tblPr>
        <w:tblStyle w:val="17"/>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7C8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1C08F3B7">
            <w:pPr>
              <w:spacing w:line="500" w:lineRule="exact"/>
              <w:rPr>
                <w:color w:val="000000"/>
                <w:sz w:val="24"/>
              </w:rPr>
            </w:pPr>
          </w:p>
          <w:p w14:paraId="5F76B711">
            <w:pPr>
              <w:spacing w:line="500" w:lineRule="exact"/>
              <w:rPr>
                <w:color w:val="000000"/>
                <w:sz w:val="24"/>
              </w:rPr>
            </w:pPr>
          </w:p>
          <w:p w14:paraId="21F26C75">
            <w:pPr>
              <w:spacing w:line="500" w:lineRule="exact"/>
              <w:rPr>
                <w:color w:val="000000"/>
                <w:sz w:val="24"/>
              </w:rPr>
            </w:pPr>
          </w:p>
          <w:p w14:paraId="149D4139">
            <w:pPr>
              <w:spacing w:line="500" w:lineRule="exact"/>
              <w:jc w:val="center"/>
              <w:rPr>
                <w:color w:val="000000"/>
                <w:sz w:val="24"/>
              </w:rPr>
            </w:pPr>
          </w:p>
          <w:p w14:paraId="01EBA9AA">
            <w:pPr>
              <w:spacing w:line="500" w:lineRule="exact"/>
              <w:jc w:val="center"/>
              <w:rPr>
                <w:color w:val="000000"/>
                <w:sz w:val="24"/>
              </w:rPr>
            </w:pPr>
          </w:p>
          <w:p w14:paraId="1025516D">
            <w:pPr>
              <w:spacing w:line="500" w:lineRule="exact"/>
              <w:jc w:val="center"/>
              <w:rPr>
                <w:color w:val="000000"/>
                <w:sz w:val="24"/>
              </w:rPr>
            </w:pPr>
            <w:r>
              <w:rPr>
                <w:color w:val="000000"/>
                <w:sz w:val="28"/>
                <w:szCs w:val="28"/>
              </w:rPr>
              <w:t>（</w:t>
            </w:r>
            <w:r>
              <w:rPr>
                <w:rFonts w:hint="eastAsia"/>
                <w:color w:val="000000"/>
                <w:sz w:val="28"/>
                <w:szCs w:val="28"/>
              </w:rPr>
              <w:t>营业执照副本</w:t>
            </w:r>
            <w:r>
              <w:rPr>
                <w:color w:val="000000"/>
                <w:sz w:val="28"/>
                <w:szCs w:val="28"/>
              </w:rPr>
              <w:t>复印件）</w:t>
            </w:r>
          </w:p>
        </w:tc>
      </w:tr>
    </w:tbl>
    <w:p w14:paraId="5C186E2F"/>
    <w:p w14:paraId="267E12E5">
      <w:pPr>
        <w:pStyle w:val="4"/>
      </w:pPr>
    </w:p>
    <w:p w14:paraId="71486782"/>
    <w:p w14:paraId="1535963A">
      <w:pPr>
        <w:rPr>
          <w:rFonts w:asciiTheme="minorEastAsia" w:hAnsiTheme="minorEastAsia" w:cstheme="minorEastAsia"/>
          <w:sz w:val="28"/>
          <w:szCs w:val="28"/>
        </w:rPr>
      </w:pPr>
      <w:r>
        <w:rPr>
          <w:rFonts w:hint="eastAsia" w:asciiTheme="minorEastAsia" w:hAnsiTheme="minorEastAsia" w:cstheme="minorEastAsia"/>
          <w:sz w:val="28"/>
          <w:szCs w:val="28"/>
        </w:rPr>
        <w:t>（二）招募对象应通过“信用中国”网站（www.creditchina.gov.cn）、中国政府采购网（www.ccgp.gov.cn）、中国执行信息公开网（http://zxgk.court.gov.cn/）查询并打印相应的信用记录（查询日期应为招募公告期间，并加盖单位公章）。</w:t>
      </w:r>
    </w:p>
    <w:p w14:paraId="7B0AC77A">
      <w:pPr>
        <w:rPr>
          <w:rFonts w:asciiTheme="minorEastAsia" w:hAnsiTheme="minorEastAsia" w:cstheme="minorEastAsia"/>
          <w:sz w:val="28"/>
          <w:szCs w:val="28"/>
        </w:rPr>
      </w:pPr>
    </w:p>
    <w:p w14:paraId="64299825">
      <w:pPr>
        <w:rPr>
          <w:rFonts w:asciiTheme="minorEastAsia" w:hAnsiTheme="minorEastAsia" w:cstheme="minorEastAsia"/>
          <w:sz w:val="28"/>
          <w:szCs w:val="28"/>
        </w:rPr>
      </w:pPr>
    </w:p>
    <w:p w14:paraId="34104D1D">
      <w:pPr>
        <w:rPr>
          <w:rFonts w:asciiTheme="minorEastAsia" w:hAnsiTheme="minorEastAsia" w:cstheme="minorEastAsia"/>
          <w:sz w:val="28"/>
          <w:szCs w:val="28"/>
        </w:rPr>
      </w:pPr>
    </w:p>
    <w:p w14:paraId="03967E9B">
      <w:pPr>
        <w:rPr>
          <w:rFonts w:asciiTheme="minorEastAsia" w:hAnsiTheme="minorEastAsia" w:cstheme="minorEastAsia"/>
          <w:sz w:val="28"/>
          <w:szCs w:val="28"/>
        </w:rPr>
      </w:pPr>
    </w:p>
    <w:p w14:paraId="4069A3AF">
      <w:pPr>
        <w:rPr>
          <w:rFonts w:asciiTheme="minorEastAsia" w:hAnsiTheme="minorEastAsia" w:cstheme="minorEastAsia"/>
          <w:sz w:val="28"/>
          <w:szCs w:val="28"/>
        </w:rPr>
      </w:pPr>
    </w:p>
    <w:p w14:paraId="3AF5E0D6">
      <w:pPr>
        <w:rPr>
          <w:rFonts w:asciiTheme="minorEastAsia" w:hAnsiTheme="minorEastAsia" w:cstheme="minorEastAsia"/>
          <w:sz w:val="28"/>
          <w:szCs w:val="28"/>
        </w:rPr>
      </w:pPr>
    </w:p>
    <w:p w14:paraId="0BA9904E">
      <w:pPr>
        <w:rPr>
          <w:rFonts w:asciiTheme="minorEastAsia" w:hAnsiTheme="minorEastAsia" w:cstheme="minorEastAsia"/>
          <w:sz w:val="28"/>
          <w:szCs w:val="28"/>
        </w:rPr>
      </w:pPr>
    </w:p>
    <w:p w14:paraId="4EED9EF8">
      <w:pPr>
        <w:rPr>
          <w:rFonts w:asciiTheme="minorEastAsia" w:hAnsiTheme="minorEastAsia" w:cstheme="minorEastAsia"/>
          <w:sz w:val="28"/>
          <w:szCs w:val="28"/>
        </w:rPr>
      </w:pPr>
    </w:p>
    <w:p w14:paraId="1A9219E8">
      <w:pPr>
        <w:rPr>
          <w:rFonts w:asciiTheme="minorEastAsia" w:hAnsiTheme="minorEastAsia" w:cstheme="minorEastAsia"/>
          <w:sz w:val="28"/>
          <w:szCs w:val="28"/>
          <w:lang w:eastAsia="zh-Hans"/>
        </w:rPr>
      </w:pPr>
      <w:r>
        <w:rPr>
          <w:rFonts w:hint="eastAsia" w:asciiTheme="minorEastAsia" w:hAnsiTheme="minorEastAsia" w:cstheme="minorEastAsia"/>
          <w:sz w:val="28"/>
          <w:szCs w:val="28"/>
        </w:rPr>
        <w:t>（三）招募对象应承诺自2022年1月1日起至本项目招募公示结束时间止，在福建广电网络集团股份有限公司或福建广电网络融媒体科技有限责任公司无不良合同履行记录（提供合作服务承诺函，并加盖单位公章），若有，其招募文件将被拒绝</w:t>
      </w:r>
      <w:r>
        <w:rPr>
          <w:rFonts w:hint="eastAsia" w:asciiTheme="minorEastAsia" w:hAnsiTheme="minorEastAsia" w:cstheme="minorEastAsia"/>
          <w:sz w:val="28"/>
          <w:szCs w:val="28"/>
          <w:lang w:eastAsia="zh-Hans"/>
        </w:rPr>
        <w:t>。</w:t>
      </w:r>
    </w:p>
    <w:p w14:paraId="7E89636D">
      <w:pPr>
        <w:pStyle w:val="2"/>
        <w:spacing w:line="400" w:lineRule="exact"/>
        <w:rPr>
          <w:sz w:val="32"/>
          <w:szCs w:val="32"/>
        </w:rPr>
      </w:pPr>
    </w:p>
    <w:p w14:paraId="7AE07B8E"/>
    <w:p w14:paraId="64944F76">
      <w:pPr>
        <w:jc w:val="center"/>
        <w:rPr>
          <w:rFonts w:ascii="宋体" w:hAnsi="宋体"/>
          <w:b/>
          <w:sz w:val="32"/>
          <w:szCs w:val="32"/>
        </w:rPr>
      </w:pPr>
      <w:r>
        <w:rPr>
          <w:rFonts w:hint="eastAsia" w:ascii="方正小标宋简体" w:hAnsi="方正小标宋简体" w:eastAsia="方正小标宋简体" w:cs="方正小标宋简体"/>
          <w:bCs/>
          <w:sz w:val="32"/>
          <w:szCs w:val="32"/>
        </w:rPr>
        <w:t>合作服务承诺函（模板）</w:t>
      </w:r>
    </w:p>
    <w:p w14:paraId="5555C11F">
      <w:pPr>
        <w:spacing w:line="380" w:lineRule="exact"/>
        <w:rPr>
          <w:rFonts w:ascii="宋体" w:hAnsi="宋体"/>
          <w:sz w:val="24"/>
        </w:rPr>
      </w:pPr>
    </w:p>
    <w:p w14:paraId="348A06BC">
      <w:pPr>
        <w:spacing w:line="380" w:lineRule="exact"/>
        <w:ind w:firstLine="480" w:firstLineChars="200"/>
        <w:rPr>
          <w:rFonts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14:paraId="11DEF7C1">
      <w:pPr>
        <w:spacing w:line="380" w:lineRule="exact"/>
        <w:rPr>
          <w:rFonts w:ascii="宋体" w:hAnsi="宋体"/>
          <w:sz w:val="24"/>
        </w:rPr>
      </w:pPr>
    </w:p>
    <w:p w14:paraId="5ABBF3E7">
      <w:pPr>
        <w:spacing w:line="380" w:lineRule="exact"/>
        <w:rPr>
          <w:rFonts w:ascii="宋体" w:hAnsi="宋体"/>
          <w:sz w:val="24"/>
        </w:rPr>
      </w:pPr>
    </w:p>
    <w:p w14:paraId="546EF8C5">
      <w:pPr>
        <w:spacing w:line="380" w:lineRule="exact"/>
        <w:rPr>
          <w:rFonts w:ascii="宋体" w:hAnsi="宋体"/>
          <w:sz w:val="24"/>
        </w:rPr>
      </w:pPr>
    </w:p>
    <w:p w14:paraId="0B73AB46">
      <w:pPr>
        <w:spacing w:line="380" w:lineRule="exact"/>
        <w:rPr>
          <w:rFonts w:ascii="宋体" w:hAnsi="宋体"/>
          <w:sz w:val="24"/>
        </w:rPr>
      </w:pPr>
    </w:p>
    <w:p w14:paraId="64B9A750">
      <w:pPr>
        <w:spacing w:line="380" w:lineRule="exact"/>
        <w:rPr>
          <w:rFonts w:ascii="宋体" w:hAnsi="宋体"/>
          <w:sz w:val="24"/>
        </w:rPr>
      </w:pPr>
    </w:p>
    <w:p w14:paraId="48B005A7">
      <w:pPr>
        <w:spacing w:line="380" w:lineRule="exact"/>
        <w:rPr>
          <w:rFonts w:ascii="宋体" w:hAnsi="宋体"/>
          <w:sz w:val="24"/>
        </w:rPr>
      </w:pPr>
    </w:p>
    <w:p w14:paraId="06FADB75">
      <w:pPr>
        <w:spacing w:line="380" w:lineRule="exact"/>
        <w:rPr>
          <w:rFonts w:ascii="宋体" w:hAnsi="宋体"/>
          <w:sz w:val="24"/>
        </w:rPr>
      </w:pPr>
    </w:p>
    <w:p w14:paraId="10E02AD4">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14:paraId="4A6D94F4">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14:paraId="64C6CB16">
      <w:pPr>
        <w:spacing w:line="380" w:lineRule="exac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p>
    <w:p w14:paraId="54299A0B">
      <w:pPr>
        <w:pStyle w:val="4"/>
        <w:rPr>
          <w:lang w:eastAsia="zh-Hans"/>
        </w:rPr>
      </w:pPr>
    </w:p>
    <w:p w14:paraId="35423A30">
      <w:pPr>
        <w:rPr>
          <w:lang w:eastAsia="zh-Hans"/>
        </w:rPr>
      </w:pPr>
    </w:p>
    <w:p w14:paraId="2403D3C5">
      <w:pPr>
        <w:pStyle w:val="4"/>
        <w:rPr>
          <w:lang w:eastAsia="zh-Hans"/>
        </w:rPr>
      </w:pPr>
    </w:p>
    <w:p w14:paraId="14C665F9">
      <w:pPr>
        <w:rPr>
          <w:lang w:eastAsia="zh-Hans"/>
        </w:rPr>
      </w:pPr>
    </w:p>
    <w:p w14:paraId="4E008290">
      <w:pPr>
        <w:pStyle w:val="4"/>
        <w:rPr>
          <w:lang w:eastAsia="zh-Hans"/>
        </w:rPr>
      </w:pPr>
    </w:p>
    <w:p w14:paraId="34C51DF7">
      <w:pPr>
        <w:rPr>
          <w:lang w:eastAsia="zh-Hans"/>
        </w:rPr>
      </w:pPr>
    </w:p>
    <w:p w14:paraId="2016CF8A">
      <w:pPr>
        <w:pStyle w:val="4"/>
        <w:rPr>
          <w:lang w:eastAsia="zh-Hans"/>
        </w:rPr>
      </w:pPr>
    </w:p>
    <w:p w14:paraId="42A9ECB7">
      <w:pPr>
        <w:rPr>
          <w:lang w:eastAsia="zh-Hans"/>
        </w:rPr>
      </w:pPr>
    </w:p>
    <w:p w14:paraId="1C526FA3">
      <w:pPr>
        <w:rPr>
          <w:lang w:eastAsia="zh-Hans"/>
        </w:rPr>
      </w:pPr>
    </w:p>
    <w:p w14:paraId="418EA9FA">
      <w:pPr>
        <w:rPr>
          <w:lang w:eastAsia="zh-Hans"/>
        </w:rPr>
      </w:pPr>
    </w:p>
    <w:p w14:paraId="6C4E4067">
      <w:pPr>
        <w:numPr>
          <w:ilvl w:val="255"/>
          <w:numId w:val="0"/>
        </w:numPr>
        <w:rPr>
          <w:rFonts w:asciiTheme="minorEastAsia" w:hAnsiTheme="minorEastAsia" w:cstheme="minorEastAsia"/>
          <w:sz w:val="28"/>
          <w:szCs w:val="28"/>
        </w:rPr>
      </w:pPr>
      <w:r>
        <w:rPr>
          <w:rFonts w:hint="eastAsia" w:asciiTheme="minorEastAsia" w:hAnsiTheme="minorEastAsia" w:cstheme="minorEastAsia"/>
          <w:sz w:val="28"/>
          <w:szCs w:val="28"/>
        </w:rPr>
        <w:t>（四）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p w14:paraId="04D698EE">
      <w:pPr>
        <w:rPr>
          <w:rFonts w:asciiTheme="minorEastAsia" w:hAnsiTheme="minorEastAsia" w:cstheme="minorEastAsia"/>
          <w:sz w:val="28"/>
          <w:szCs w:val="28"/>
        </w:rPr>
      </w:pPr>
    </w:p>
    <w:p w14:paraId="2D8F498C">
      <w:pPr>
        <w:rPr>
          <w:rFonts w:asciiTheme="minorEastAsia" w:hAnsiTheme="minorEastAsia" w:cstheme="minorEastAsia"/>
          <w:sz w:val="28"/>
          <w:szCs w:val="28"/>
        </w:rPr>
      </w:pPr>
    </w:p>
    <w:p w14:paraId="254AD6D6">
      <w:pPr>
        <w:rPr>
          <w:rFonts w:asciiTheme="minorEastAsia" w:hAnsiTheme="minorEastAsia" w:cstheme="minorEastAsia"/>
          <w:sz w:val="28"/>
          <w:szCs w:val="28"/>
        </w:rPr>
      </w:pPr>
    </w:p>
    <w:p w14:paraId="7ABB0940">
      <w:pPr>
        <w:rPr>
          <w:rFonts w:asciiTheme="minorEastAsia" w:hAnsiTheme="minorEastAsia" w:cstheme="minorEastAsia"/>
          <w:sz w:val="28"/>
          <w:szCs w:val="28"/>
        </w:rPr>
      </w:pPr>
    </w:p>
    <w:p w14:paraId="3A22F4FC">
      <w:pP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14:paraId="0E08D351">
      <w:pPr>
        <w:rPr>
          <w:rFonts w:asciiTheme="minorEastAsia" w:hAnsiTheme="minorEastAsia" w:cstheme="minorEastAsia"/>
          <w:sz w:val="28"/>
          <w:szCs w:val="28"/>
        </w:rPr>
      </w:pPr>
    </w:p>
    <w:p w14:paraId="305DB9A2">
      <w:pPr>
        <w:rPr>
          <w:rFonts w:asciiTheme="minorEastAsia" w:hAnsiTheme="minorEastAsia" w:cstheme="minorEastAsia"/>
          <w:sz w:val="28"/>
          <w:szCs w:val="28"/>
        </w:rPr>
      </w:pPr>
    </w:p>
    <w:p w14:paraId="257E2B5C">
      <w:pPr>
        <w:rPr>
          <w:rFonts w:asciiTheme="minorEastAsia" w:hAnsiTheme="minorEastAsia" w:cstheme="minorEastAsia"/>
          <w:sz w:val="28"/>
          <w:szCs w:val="28"/>
        </w:rPr>
      </w:pPr>
    </w:p>
    <w:p w14:paraId="02EC5D20">
      <w:pPr>
        <w:numPr>
          <w:ilvl w:val="255"/>
          <w:numId w:val="0"/>
        </w:numPr>
        <w:rPr>
          <w:rFonts w:asciiTheme="minorEastAsia" w:hAnsiTheme="minorEastAsia" w:cstheme="minorEastAsia"/>
          <w:sz w:val="28"/>
          <w:szCs w:val="28"/>
        </w:rPr>
      </w:pPr>
      <w:r>
        <w:rPr>
          <w:rFonts w:hint="eastAsia" w:asciiTheme="minorEastAsia" w:hAnsiTheme="minorEastAsia" w:cstheme="minorEastAsia"/>
          <w:sz w:val="28"/>
          <w:szCs w:val="28"/>
        </w:rPr>
        <w:t>（五）</w:t>
      </w:r>
      <w:r>
        <w:rPr>
          <w:rFonts w:asciiTheme="minorEastAsia" w:hAnsiTheme="minorEastAsia" w:cstheme="minorEastAsia"/>
          <w:sz w:val="28"/>
          <w:szCs w:val="28"/>
        </w:rPr>
        <w:t>合作方应提供招募响应文件提交截止时间前六个月（含当月）任意一个月的依法缴纳税收和依法缴纳社会保障资金的凭据。</w:t>
      </w:r>
    </w:p>
    <w:p w14:paraId="67496074">
      <w:pPr>
        <w:rPr>
          <w:rFonts w:asciiTheme="minorEastAsia" w:hAnsiTheme="minorEastAsia" w:cstheme="minorEastAsia"/>
          <w:sz w:val="28"/>
          <w:szCs w:val="28"/>
        </w:rPr>
      </w:pPr>
    </w:p>
    <w:p w14:paraId="64A01BC7">
      <w:pPr>
        <w:rPr>
          <w:rFonts w:asciiTheme="minorEastAsia" w:hAnsiTheme="minorEastAsia" w:cstheme="minorEastAsia"/>
          <w:sz w:val="28"/>
          <w:szCs w:val="28"/>
        </w:rPr>
      </w:pPr>
    </w:p>
    <w:p w14:paraId="01B09F5B">
      <w:pPr>
        <w:rPr>
          <w:rFonts w:asciiTheme="minorEastAsia" w:hAnsiTheme="minorEastAsia" w:cstheme="minorEastAsia"/>
          <w:sz w:val="28"/>
          <w:szCs w:val="28"/>
        </w:rPr>
      </w:pPr>
    </w:p>
    <w:p w14:paraId="366B0419">
      <w:pPr>
        <w:rPr>
          <w:rFonts w:asciiTheme="minorEastAsia" w:hAnsiTheme="minorEastAsia" w:cstheme="minorEastAsia"/>
          <w:sz w:val="28"/>
          <w:szCs w:val="28"/>
        </w:rPr>
      </w:pPr>
    </w:p>
    <w:p w14:paraId="123D85F8">
      <w:pPr>
        <w:rPr>
          <w:rFonts w:asciiTheme="minorEastAsia" w:hAnsiTheme="minorEastAsia" w:cstheme="minorEastAsia"/>
          <w:sz w:val="28"/>
          <w:szCs w:val="28"/>
        </w:rPr>
      </w:pPr>
    </w:p>
    <w:p w14:paraId="2CF78A34">
      <w:pPr>
        <w:rPr>
          <w:rFonts w:asciiTheme="minorEastAsia" w:hAnsiTheme="minorEastAsia" w:cstheme="minorEastAsia"/>
          <w:sz w:val="28"/>
          <w:szCs w:val="28"/>
        </w:rPr>
      </w:pPr>
    </w:p>
    <w:p w14:paraId="08797C93">
      <w:pPr>
        <w:rPr>
          <w:rFonts w:asciiTheme="minorEastAsia" w:hAnsiTheme="minorEastAsia" w:cstheme="minorEastAsia"/>
          <w:sz w:val="28"/>
          <w:szCs w:val="28"/>
        </w:rPr>
      </w:pPr>
    </w:p>
    <w:bookmarkEnd w:id="100"/>
    <w:bookmarkEnd w:id="101"/>
    <w:bookmarkEnd w:id="102"/>
    <w:p w14:paraId="2854924A">
      <w:pPr>
        <w:rPr>
          <w:rFonts w:asciiTheme="minorEastAsia" w:hAnsiTheme="minorEastAsia" w:cstheme="minorEastAsia"/>
          <w:sz w:val="28"/>
          <w:szCs w:val="28"/>
        </w:rPr>
      </w:pPr>
      <w:bookmarkStart w:id="103" w:name="_Toc15912"/>
      <w:bookmarkStart w:id="104" w:name="_Toc3203"/>
      <w:bookmarkStart w:id="105" w:name="_Toc8424"/>
      <w:r>
        <w:rPr>
          <w:rFonts w:hint="eastAsia" w:asciiTheme="minorEastAsia" w:hAnsiTheme="minorEastAsia" w:cstheme="minorEastAsia"/>
          <w:sz w:val="28"/>
          <w:szCs w:val="28"/>
        </w:rPr>
        <w:t>（六）法定代表人授权委托书及法定代表人、授权代理人的身份证复印件：</w:t>
      </w:r>
      <w:bookmarkEnd w:id="103"/>
      <w:bookmarkEnd w:id="104"/>
      <w:bookmarkEnd w:id="105"/>
    </w:p>
    <w:p w14:paraId="2CF1A940">
      <w:pPr>
        <w:shd w:val="clear" w:color="auto" w:fill="FFFFFF"/>
        <w:spacing w:line="400" w:lineRule="exact"/>
        <w:jc w:val="center"/>
        <w:rPr>
          <w:rFonts w:asciiTheme="minorEastAsia" w:hAnsiTheme="minorEastAsia" w:cstheme="minorEastAsia"/>
          <w:sz w:val="28"/>
          <w:szCs w:val="28"/>
        </w:rPr>
      </w:pPr>
      <w:bookmarkStart w:id="106" w:name="_Toc22694"/>
      <w:bookmarkStart w:id="107" w:name="_Toc24505"/>
    </w:p>
    <w:p w14:paraId="7D374DA6">
      <w:pPr>
        <w:shd w:val="clear" w:color="auto" w:fill="FFFFFF"/>
        <w:spacing w:line="240" w:lineRule="atLeast"/>
        <w:jc w:val="center"/>
        <w:rPr>
          <w:rFonts w:asciiTheme="minorEastAsia" w:hAnsiTheme="minorEastAsia" w:cstheme="minorEastAsia"/>
          <w:sz w:val="28"/>
          <w:szCs w:val="28"/>
        </w:rPr>
      </w:pPr>
      <w:r>
        <w:rPr>
          <w:rFonts w:hint="eastAsia" w:asciiTheme="minorEastAsia" w:hAnsiTheme="minorEastAsia" w:cstheme="minorEastAsia"/>
          <w:sz w:val="28"/>
          <w:szCs w:val="28"/>
        </w:rPr>
        <w:t>法定代表人授权委托书</w:t>
      </w:r>
      <w:bookmarkEnd w:id="106"/>
      <w:bookmarkEnd w:id="107"/>
    </w:p>
    <w:p w14:paraId="0A41CAD8">
      <w:pPr>
        <w:pStyle w:val="14"/>
        <w:tabs>
          <w:tab w:val="left" w:pos="180"/>
        </w:tabs>
        <w:spacing w:line="240" w:lineRule="atLeast"/>
        <w:rPr>
          <w:sz w:val="28"/>
          <w:szCs w:val="28"/>
        </w:rPr>
      </w:pPr>
    </w:p>
    <w:p w14:paraId="04C5A98A">
      <w:pPr>
        <w:pStyle w:val="14"/>
        <w:tabs>
          <w:tab w:val="left" w:pos="180"/>
        </w:tabs>
        <w:spacing w:line="240" w:lineRule="atLeast"/>
        <w:rPr>
          <w:sz w:val="28"/>
          <w:szCs w:val="28"/>
        </w:rPr>
      </w:pPr>
      <w:r>
        <w:rPr>
          <w:rFonts w:hint="eastAsia"/>
          <w:sz w:val="28"/>
          <w:szCs w:val="28"/>
        </w:rPr>
        <w:t>福建广电网络融媒体科技有限责任公司</w:t>
      </w:r>
      <w:r>
        <w:rPr>
          <w:sz w:val="28"/>
          <w:szCs w:val="28"/>
        </w:rPr>
        <w:t>：</w:t>
      </w:r>
    </w:p>
    <w:p w14:paraId="6397C865">
      <w:pPr>
        <w:spacing w:line="240" w:lineRule="atLeast"/>
        <w:rPr>
          <w:color w:val="000000"/>
          <w:sz w:val="28"/>
          <w:szCs w:val="28"/>
        </w:rPr>
      </w:pPr>
    </w:p>
    <w:p w14:paraId="2A12B82A">
      <w:pPr>
        <w:tabs>
          <w:tab w:val="left" w:pos="6663"/>
        </w:tabs>
        <w:spacing w:line="240" w:lineRule="atLeast"/>
        <w:rPr>
          <w:color w:val="000000"/>
          <w:sz w:val="28"/>
          <w:szCs w:val="28"/>
        </w:rPr>
      </w:pPr>
      <w:r>
        <w:rPr>
          <w:color w:val="000000"/>
          <w:sz w:val="28"/>
          <w:szCs w:val="28"/>
        </w:rPr>
        <w:t xml:space="preserve">    </w:t>
      </w:r>
      <w:r>
        <w:rPr>
          <w:color w:val="000000"/>
          <w:sz w:val="28"/>
          <w:szCs w:val="28"/>
          <w:u w:val="single"/>
        </w:rPr>
        <w:t xml:space="preserve">                                  </w:t>
      </w:r>
      <w:r>
        <w:rPr>
          <w:color w:val="000000"/>
          <w:sz w:val="28"/>
          <w:szCs w:val="28"/>
        </w:rPr>
        <w:t>（</w:t>
      </w:r>
      <w:r>
        <w:rPr>
          <w:rFonts w:hint="eastAsia"/>
          <w:color w:val="000000"/>
          <w:sz w:val="28"/>
          <w:szCs w:val="28"/>
        </w:rPr>
        <w:t>合作方</w:t>
      </w:r>
      <w:r>
        <w:rPr>
          <w:color w:val="000000"/>
          <w:sz w:val="28"/>
          <w:szCs w:val="28"/>
        </w:rPr>
        <w:t>名称）法定代表人</w:t>
      </w:r>
      <w:r>
        <w:rPr>
          <w:color w:val="000000"/>
          <w:sz w:val="28"/>
          <w:szCs w:val="28"/>
          <w:u w:val="single"/>
        </w:rPr>
        <w:t xml:space="preserve">                      </w:t>
      </w:r>
    </w:p>
    <w:p w14:paraId="59110C6A">
      <w:pPr>
        <w:tabs>
          <w:tab w:val="left" w:pos="6663"/>
        </w:tabs>
        <w:spacing w:line="240" w:lineRule="atLeast"/>
        <w:rPr>
          <w:color w:val="000000"/>
          <w:sz w:val="28"/>
          <w:szCs w:val="28"/>
        </w:rPr>
      </w:pPr>
      <w:r>
        <w:rPr>
          <w:color w:val="000000"/>
          <w:sz w:val="28"/>
          <w:szCs w:val="28"/>
        </w:rPr>
        <w:t xml:space="preserve">授权我公司 </w:t>
      </w:r>
      <w:r>
        <w:rPr>
          <w:color w:val="000000"/>
          <w:sz w:val="28"/>
          <w:szCs w:val="28"/>
          <w:u w:val="single"/>
        </w:rPr>
        <w:t xml:space="preserve">                    （</w:t>
      </w:r>
      <w:r>
        <w:rPr>
          <w:color w:val="000000"/>
          <w:sz w:val="28"/>
          <w:szCs w:val="28"/>
        </w:rPr>
        <w:t xml:space="preserve">职务或职称） </w:t>
      </w:r>
      <w:r>
        <w:rPr>
          <w:color w:val="000000"/>
          <w:sz w:val="28"/>
          <w:szCs w:val="28"/>
          <w:u w:val="single"/>
        </w:rPr>
        <w:t xml:space="preserve">                 </w:t>
      </w:r>
      <w:r>
        <w:rPr>
          <w:color w:val="000000"/>
          <w:sz w:val="28"/>
          <w:szCs w:val="28"/>
        </w:rPr>
        <w:t>（姓名）为我单位本次</w:t>
      </w:r>
      <w:r>
        <w:rPr>
          <w:rFonts w:hint="eastAsia"/>
          <w:color w:val="000000"/>
          <w:sz w:val="28"/>
          <w:szCs w:val="28"/>
        </w:rPr>
        <w:t>合作方招募响应</w:t>
      </w:r>
      <w:r>
        <w:rPr>
          <w:color w:val="000000"/>
          <w:sz w:val="28"/>
          <w:szCs w:val="28"/>
        </w:rPr>
        <w:t>代理人，全权处理此次</w:t>
      </w:r>
      <w:r>
        <w:rPr>
          <w:rFonts w:hint="eastAsia"/>
          <w:color w:val="000000"/>
          <w:sz w:val="28"/>
          <w:szCs w:val="28"/>
          <w:u w:val="single"/>
        </w:rPr>
        <w:t xml:space="preserve">                           </w:t>
      </w:r>
      <w:r>
        <w:rPr>
          <w:color w:val="000000"/>
          <w:sz w:val="28"/>
          <w:szCs w:val="28"/>
        </w:rPr>
        <w:t>项目（项目编号：</w:t>
      </w:r>
      <w:r>
        <w:rPr>
          <w:rFonts w:hint="eastAsia"/>
          <w:bCs/>
          <w:sz w:val="32"/>
          <w:szCs w:val="32"/>
        </w:rPr>
        <w:t>GWRK</w:t>
      </w:r>
      <w:r>
        <w:rPr>
          <w:bCs/>
          <w:sz w:val="32"/>
          <w:szCs w:val="32"/>
        </w:rPr>
        <w:t>20</w:t>
      </w:r>
      <w:r>
        <w:rPr>
          <w:rFonts w:hint="eastAsia"/>
          <w:bCs/>
          <w:sz w:val="32"/>
          <w:szCs w:val="32"/>
        </w:rPr>
        <w:t>25</w:t>
      </w:r>
      <w:r>
        <w:rPr>
          <w:bCs/>
          <w:sz w:val="32"/>
          <w:szCs w:val="32"/>
        </w:rPr>
        <w:t>-</w:t>
      </w:r>
      <w:r>
        <w:rPr>
          <w:rFonts w:hint="eastAsia"/>
          <w:bCs/>
          <w:sz w:val="32"/>
          <w:szCs w:val="32"/>
        </w:rPr>
        <w:t xml:space="preserve">  </w:t>
      </w:r>
      <w:r>
        <w:rPr>
          <w:bCs/>
          <w:sz w:val="32"/>
          <w:szCs w:val="32"/>
        </w:rPr>
        <w:t>-</w:t>
      </w:r>
      <w:r>
        <w:rPr>
          <w:rFonts w:hint="eastAsia"/>
          <w:bCs/>
          <w:sz w:val="32"/>
          <w:szCs w:val="32"/>
        </w:rPr>
        <w:t xml:space="preserve">  </w:t>
      </w:r>
      <w:r>
        <w:rPr>
          <w:color w:val="000000"/>
          <w:sz w:val="28"/>
          <w:szCs w:val="28"/>
        </w:rPr>
        <w:t>）的一切事宜。</w:t>
      </w:r>
    </w:p>
    <w:p w14:paraId="3E28CAF8">
      <w:pPr>
        <w:shd w:val="clear" w:color="auto" w:fill="FFFFFF"/>
        <w:spacing w:line="240" w:lineRule="atLeast"/>
        <w:ind w:firstLine="560"/>
        <w:rPr>
          <w:rFonts w:asciiTheme="minorEastAsia" w:hAnsiTheme="minorEastAsia" w:cstheme="minorEastAsia"/>
          <w:sz w:val="28"/>
          <w:szCs w:val="28"/>
        </w:rPr>
      </w:pPr>
      <w:bookmarkStart w:id="108" w:name="_Toc5515"/>
      <w:bookmarkStart w:id="109" w:name="_Toc4892"/>
      <w:r>
        <w:rPr>
          <w:rFonts w:hint="eastAsia" w:asciiTheme="minorEastAsia" w:hAnsiTheme="minorEastAsia" w:cstheme="minorEastAsia"/>
          <w:sz w:val="28"/>
          <w:szCs w:val="28"/>
        </w:rPr>
        <w:t>特此授权。</w:t>
      </w:r>
      <w:bookmarkEnd w:id="108"/>
      <w:bookmarkEnd w:id="109"/>
    </w:p>
    <w:p w14:paraId="4826BD18">
      <w:pPr>
        <w:shd w:val="clear" w:color="auto" w:fill="FFFFFF"/>
        <w:spacing w:line="400" w:lineRule="exact"/>
        <w:rPr>
          <w:rFonts w:asciiTheme="minorEastAsia" w:hAnsiTheme="minorEastAsia" w:cstheme="minorEastAsia"/>
          <w:sz w:val="28"/>
          <w:szCs w:val="28"/>
        </w:rPr>
      </w:pPr>
    </w:p>
    <w:tbl>
      <w:tblPr>
        <w:tblStyle w:val="17"/>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C50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050EC786">
            <w:pPr>
              <w:spacing w:line="500" w:lineRule="exact"/>
              <w:rPr>
                <w:color w:val="000000"/>
                <w:sz w:val="28"/>
                <w:szCs w:val="28"/>
              </w:rPr>
            </w:pPr>
          </w:p>
          <w:p w14:paraId="3FBB451A">
            <w:pPr>
              <w:spacing w:line="500" w:lineRule="exact"/>
              <w:rPr>
                <w:color w:val="000000"/>
                <w:sz w:val="28"/>
                <w:szCs w:val="28"/>
              </w:rPr>
            </w:pPr>
          </w:p>
          <w:p w14:paraId="3ED4E3C2">
            <w:pPr>
              <w:spacing w:line="500" w:lineRule="exact"/>
              <w:rPr>
                <w:color w:val="000000"/>
                <w:sz w:val="28"/>
                <w:szCs w:val="28"/>
              </w:rPr>
            </w:pPr>
          </w:p>
          <w:p w14:paraId="208658B0">
            <w:pPr>
              <w:spacing w:line="500" w:lineRule="exact"/>
              <w:jc w:val="center"/>
              <w:rPr>
                <w:color w:val="000000"/>
                <w:sz w:val="28"/>
                <w:szCs w:val="28"/>
              </w:rPr>
            </w:pPr>
          </w:p>
          <w:p w14:paraId="511D9D54">
            <w:pPr>
              <w:spacing w:line="500" w:lineRule="exact"/>
              <w:jc w:val="center"/>
              <w:rPr>
                <w:color w:val="000000"/>
                <w:sz w:val="28"/>
                <w:szCs w:val="28"/>
              </w:rPr>
            </w:pPr>
          </w:p>
          <w:p w14:paraId="3E365BC8">
            <w:pPr>
              <w:spacing w:line="500" w:lineRule="exact"/>
              <w:jc w:val="center"/>
              <w:rPr>
                <w:color w:val="000000"/>
                <w:sz w:val="28"/>
                <w:szCs w:val="28"/>
              </w:rPr>
            </w:pPr>
            <w:r>
              <w:rPr>
                <w:color w:val="000000"/>
                <w:sz w:val="28"/>
                <w:szCs w:val="28"/>
              </w:rPr>
              <w:t>（附</w:t>
            </w:r>
            <w:r>
              <w:rPr>
                <w:rFonts w:hint="eastAsia"/>
                <w:color w:val="000000"/>
                <w:sz w:val="28"/>
                <w:szCs w:val="28"/>
              </w:rPr>
              <w:t>合作方法定代表人</w:t>
            </w:r>
            <w:r>
              <w:rPr>
                <w:color w:val="000000"/>
                <w:sz w:val="28"/>
                <w:szCs w:val="28"/>
              </w:rPr>
              <w:t>身份证明复印件）</w:t>
            </w:r>
          </w:p>
        </w:tc>
      </w:tr>
    </w:tbl>
    <w:p w14:paraId="7A545F07">
      <w:pPr>
        <w:shd w:val="clear" w:color="auto" w:fill="FFFFFF"/>
        <w:spacing w:line="400" w:lineRule="exact"/>
        <w:rPr>
          <w:rFonts w:asciiTheme="minorEastAsia" w:hAnsiTheme="minorEastAsia" w:cstheme="minorEastAsia"/>
          <w:sz w:val="28"/>
          <w:szCs w:val="28"/>
        </w:rPr>
      </w:pPr>
    </w:p>
    <w:p w14:paraId="432CF69E">
      <w:pPr>
        <w:spacing w:line="500" w:lineRule="exact"/>
        <w:rPr>
          <w:color w:val="000000"/>
          <w:sz w:val="28"/>
          <w:szCs w:val="28"/>
        </w:rPr>
      </w:pPr>
    </w:p>
    <w:tbl>
      <w:tblPr>
        <w:tblStyle w:val="17"/>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6CC9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38777C0D">
            <w:pPr>
              <w:spacing w:line="500" w:lineRule="exact"/>
              <w:rPr>
                <w:color w:val="000000"/>
                <w:sz w:val="28"/>
                <w:szCs w:val="28"/>
              </w:rPr>
            </w:pPr>
          </w:p>
          <w:p w14:paraId="13FD80E4">
            <w:pPr>
              <w:spacing w:line="500" w:lineRule="exact"/>
              <w:rPr>
                <w:color w:val="000000"/>
                <w:sz w:val="28"/>
                <w:szCs w:val="28"/>
              </w:rPr>
            </w:pPr>
          </w:p>
          <w:p w14:paraId="3B3C27A0">
            <w:pPr>
              <w:spacing w:line="500" w:lineRule="exact"/>
              <w:rPr>
                <w:color w:val="000000"/>
                <w:sz w:val="28"/>
                <w:szCs w:val="28"/>
              </w:rPr>
            </w:pPr>
          </w:p>
          <w:p w14:paraId="28B209E2">
            <w:pPr>
              <w:spacing w:line="500" w:lineRule="exact"/>
              <w:jc w:val="center"/>
              <w:rPr>
                <w:color w:val="000000"/>
                <w:sz w:val="28"/>
                <w:szCs w:val="28"/>
              </w:rPr>
            </w:pPr>
          </w:p>
          <w:p w14:paraId="1EEDED85">
            <w:pPr>
              <w:spacing w:line="500" w:lineRule="exact"/>
              <w:jc w:val="center"/>
              <w:rPr>
                <w:color w:val="000000"/>
                <w:sz w:val="28"/>
                <w:szCs w:val="28"/>
              </w:rPr>
            </w:pPr>
          </w:p>
          <w:p w14:paraId="1D18AD53">
            <w:pPr>
              <w:spacing w:line="500" w:lineRule="exact"/>
              <w:jc w:val="center"/>
              <w:rPr>
                <w:color w:val="000000"/>
                <w:sz w:val="28"/>
                <w:szCs w:val="28"/>
              </w:rPr>
            </w:pPr>
            <w:r>
              <w:rPr>
                <w:color w:val="000000"/>
                <w:sz w:val="28"/>
                <w:szCs w:val="28"/>
              </w:rPr>
              <w:t>（附授权代理人身份证明复印件）</w:t>
            </w:r>
          </w:p>
        </w:tc>
      </w:tr>
    </w:tbl>
    <w:p w14:paraId="4E881DBA">
      <w:pPr>
        <w:spacing w:line="500" w:lineRule="exact"/>
        <w:outlineLvl w:val="0"/>
        <w:rPr>
          <w:color w:val="000000"/>
          <w:sz w:val="28"/>
          <w:szCs w:val="28"/>
        </w:rPr>
      </w:pPr>
    </w:p>
    <w:p w14:paraId="0E631473">
      <w:pPr>
        <w:shd w:val="clear" w:color="auto" w:fill="FFFFFF"/>
        <w:spacing w:line="400" w:lineRule="exact"/>
        <w:ind w:firstLine="560"/>
        <w:rPr>
          <w:rFonts w:asciiTheme="minorEastAsia" w:hAnsiTheme="minorEastAsia" w:cstheme="minorEastAsia"/>
          <w:sz w:val="28"/>
          <w:szCs w:val="28"/>
        </w:rPr>
      </w:pPr>
      <w:bookmarkStart w:id="110" w:name="_Toc30651"/>
      <w:bookmarkStart w:id="111" w:name="_Toc32183"/>
      <w:r>
        <w:rPr>
          <w:rFonts w:hint="eastAsia" w:asciiTheme="minorEastAsia" w:hAnsiTheme="minorEastAsia" w:cstheme="minorEastAsia"/>
          <w:sz w:val="28"/>
          <w:szCs w:val="28"/>
        </w:rPr>
        <w:t>合作方名称（公章）：</w:t>
      </w:r>
      <w:bookmarkEnd w:id="110"/>
      <w:bookmarkEnd w:id="111"/>
    </w:p>
    <w:p w14:paraId="1F9AD188">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法定代表人签字（或盖章）：                        </w:t>
      </w:r>
    </w:p>
    <w:p w14:paraId="09E7E24A">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19B8E57">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61031E4B">
      <w:pPr>
        <w:spacing w:line="500" w:lineRule="exact"/>
        <w:jc w:val="right"/>
        <w:rPr>
          <w:color w:val="000000"/>
          <w:sz w:val="24"/>
        </w:rPr>
      </w:pPr>
    </w:p>
    <w:p w14:paraId="5E3A75C4"/>
    <w:p w14:paraId="02C8C9B2"/>
    <w:p w14:paraId="524B7C8C"/>
    <w:p w14:paraId="1CC34F2A"/>
    <w:p w14:paraId="56847D68"/>
    <w:p w14:paraId="35C99FB5"/>
    <w:p w14:paraId="419A1B40"/>
    <w:p w14:paraId="50818595"/>
    <w:p w14:paraId="09D0D679"/>
    <w:p w14:paraId="583677C7"/>
    <w:p w14:paraId="49B5D14A"/>
    <w:p w14:paraId="7E81B433">
      <w:pPr>
        <w:rPr>
          <w:rFonts w:asciiTheme="minorEastAsia" w:hAnsiTheme="minorEastAsia" w:cstheme="minorEastAsia"/>
          <w:sz w:val="28"/>
          <w:szCs w:val="28"/>
        </w:rPr>
      </w:pPr>
      <w:bookmarkStart w:id="112" w:name="_Toc16247"/>
      <w:bookmarkStart w:id="113" w:name="_Toc143"/>
      <w:bookmarkStart w:id="114" w:name="_Toc9208"/>
      <w:r>
        <w:rPr>
          <w:rFonts w:hint="eastAsia" w:asciiTheme="minorEastAsia" w:hAnsiTheme="minorEastAsia" w:cstheme="minorEastAsia"/>
          <w:sz w:val="28"/>
          <w:szCs w:val="28"/>
        </w:rPr>
        <w:t>（七）合作方认为需要提交的其它文件：</w:t>
      </w:r>
      <w:bookmarkEnd w:id="112"/>
      <w:bookmarkEnd w:id="113"/>
      <w:bookmarkEnd w:id="114"/>
    </w:p>
    <w:p w14:paraId="06EB45B3">
      <w:pPr>
        <w:spacing w:line="500" w:lineRule="exact"/>
        <w:rPr>
          <w:color w:val="000000"/>
          <w:sz w:val="28"/>
        </w:rPr>
      </w:pPr>
    </w:p>
    <w:tbl>
      <w:tblPr>
        <w:tblStyle w:val="17"/>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134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40C9A854">
            <w:pPr>
              <w:spacing w:line="500" w:lineRule="exact"/>
              <w:rPr>
                <w:color w:val="000000"/>
                <w:sz w:val="24"/>
              </w:rPr>
            </w:pPr>
          </w:p>
          <w:p w14:paraId="0CEA1033">
            <w:pPr>
              <w:spacing w:line="500" w:lineRule="exact"/>
              <w:rPr>
                <w:color w:val="000000"/>
                <w:sz w:val="24"/>
              </w:rPr>
            </w:pPr>
          </w:p>
          <w:p w14:paraId="332D7393">
            <w:pPr>
              <w:spacing w:line="500" w:lineRule="exact"/>
              <w:rPr>
                <w:color w:val="000000"/>
                <w:sz w:val="24"/>
              </w:rPr>
            </w:pPr>
          </w:p>
          <w:p w14:paraId="03E3C10A">
            <w:pPr>
              <w:spacing w:line="500" w:lineRule="exact"/>
              <w:jc w:val="center"/>
              <w:rPr>
                <w:color w:val="000000"/>
                <w:sz w:val="24"/>
              </w:rPr>
            </w:pPr>
          </w:p>
          <w:p w14:paraId="1EE70FA1">
            <w:pPr>
              <w:spacing w:line="500" w:lineRule="exact"/>
              <w:jc w:val="center"/>
              <w:rPr>
                <w:color w:val="000000"/>
                <w:sz w:val="24"/>
              </w:rPr>
            </w:pPr>
          </w:p>
          <w:p w14:paraId="3A09C4C2">
            <w:pPr>
              <w:spacing w:line="500" w:lineRule="exact"/>
              <w:jc w:val="center"/>
              <w:rPr>
                <w:color w:val="000000"/>
                <w:sz w:val="24"/>
              </w:rPr>
            </w:pPr>
            <w:r>
              <w:rPr>
                <w:color w:val="000000"/>
                <w:sz w:val="28"/>
                <w:szCs w:val="28"/>
              </w:rPr>
              <w:t>（</w:t>
            </w:r>
            <w:r>
              <w:rPr>
                <w:rFonts w:hint="eastAsia" w:asciiTheme="minorEastAsia" w:hAnsiTheme="minorEastAsia" w:cstheme="minorEastAsia"/>
                <w:sz w:val="28"/>
                <w:szCs w:val="28"/>
              </w:rPr>
              <w:t>合作方认为需要提交的其它文件</w:t>
            </w:r>
            <w:r>
              <w:rPr>
                <w:color w:val="000000"/>
                <w:sz w:val="28"/>
                <w:szCs w:val="28"/>
              </w:rPr>
              <w:t>）</w:t>
            </w:r>
          </w:p>
        </w:tc>
      </w:tr>
    </w:tbl>
    <w:p w14:paraId="0FB78F3D">
      <w:pPr>
        <w:spacing w:line="500" w:lineRule="exact"/>
        <w:outlineLvl w:val="0"/>
        <w:rPr>
          <w:color w:val="000000"/>
          <w:sz w:val="24"/>
        </w:rPr>
      </w:pPr>
    </w:p>
    <w:p w14:paraId="22729818">
      <w:pPr>
        <w:spacing w:line="500" w:lineRule="exact"/>
        <w:outlineLvl w:val="0"/>
        <w:rPr>
          <w:color w:val="000000"/>
          <w:sz w:val="24"/>
        </w:rPr>
      </w:pPr>
    </w:p>
    <w:p w14:paraId="56863226">
      <w:pPr>
        <w:spacing w:line="500" w:lineRule="exact"/>
        <w:outlineLvl w:val="0"/>
        <w:rPr>
          <w:color w:val="000000"/>
          <w:sz w:val="24"/>
        </w:rPr>
      </w:pPr>
    </w:p>
    <w:p w14:paraId="64AF89E2">
      <w:pPr>
        <w:spacing w:line="500" w:lineRule="exact"/>
        <w:outlineLvl w:val="0"/>
        <w:rPr>
          <w:color w:val="000000"/>
          <w:sz w:val="24"/>
        </w:rPr>
      </w:pPr>
    </w:p>
    <w:p w14:paraId="23313ED6">
      <w:pPr>
        <w:spacing w:line="500" w:lineRule="exact"/>
        <w:outlineLvl w:val="0"/>
        <w:rPr>
          <w:color w:val="000000"/>
          <w:sz w:val="24"/>
        </w:rPr>
      </w:pPr>
    </w:p>
    <w:p w14:paraId="43D40B72">
      <w:pPr>
        <w:shd w:val="clear" w:color="auto" w:fill="FFFFFF"/>
        <w:spacing w:line="400" w:lineRule="exact"/>
        <w:ind w:firstLine="560"/>
        <w:rPr>
          <w:rFonts w:asciiTheme="minorEastAsia" w:hAnsiTheme="minorEastAsia" w:cstheme="minorEastAsia"/>
          <w:sz w:val="28"/>
          <w:szCs w:val="28"/>
        </w:rPr>
      </w:pPr>
      <w:bookmarkStart w:id="115" w:name="_Toc32236"/>
      <w:bookmarkStart w:id="116" w:name="_Toc21174"/>
      <w:r>
        <w:rPr>
          <w:rFonts w:hint="eastAsia" w:asciiTheme="minorEastAsia" w:hAnsiTheme="minorEastAsia" w:cstheme="minorEastAsia"/>
          <w:sz w:val="28"/>
          <w:szCs w:val="28"/>
        </w:rPr>
        <w:t>合作方名称（公章）：</w:t>
      </w:r>
      <w:bookmarkEnd w:id="115"/>
      <w:bookmarkEnd w:id="116"/>
    </w:p>
    <w:p w14:paraId="4C63DA20">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法定代表人签字（或盖章）：                        </w:t>
      </w:r>
    </w:p>
    <w:p w14:paraId="73D1B0BF">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39DD5CE2">
      <w:pPr>
        <w:shd w:val="clear" w:color="auto" w:fill="FFFFFF"/>
        <w:spacing w:line="400" w:lineRule="exact"/>
        <w:ind w:firstLine="560"/>
        <w:rPr>
          <w:rFonts w:asciiTheme="minorEastAsia" w:hAnsiTheme="minorEastAsia" w:cstheme="minorEastAsia"/>
          <w:sz w:val="28"/>
          <w:szCs w:val="28"/>
        </w:rPr>
        <w:sectPr>
          <w:headerReference r:id="rId3" w:type="default"/>
          <w:footerReference r:id="rId4" w:type="default"/>
          <w:pgSz w:w="11906" w:h="16838"/>
          <w:pgMar w:top="873" w:right="896" w:bottom="873" w:left="896" w:header="851" w:footer="992" w:gutter="0"/>
          <w:cols w:space="0" w:num="1"/>
          <w:docGrid w:type="lines" w:linePitch="319" w:charSpace="0"/>
        </w:sectPr>
      </w:pPr>
      <w:r>
        <w:rPr>
          <w:rFonts w:hint="eastAsia" w:asciiTheme="minorEastAsia" w:hAnsiTheme="minorEastAsia" w:cstheme="minorEastAsia"/>
          <w:sz w:val="28"/>
          <w:szCs w:val="28"/>
        </w:rPr>
        <w:t xml:space="preserve">         年    月    日 </w:t>
      </w:r>
    </w:p>
    <w:p w14:paraId="21172910">
      <w:pPr>
        <w:spacing w:line="500" w:lineRule="exact"/>
        <w:jc w:val="left"/>
        <w:rPr>
          <w:color w:val="000000"/>
          <w:sz w:val="28"/>
          <w:szCs w:val="28"/>
        </w:rPr>
      </w:pPr>
    </w:p>
    <w:p w14:paraId="5DDB0003">
      <w:pPr>
        <w:tabs>
          <w:tab w:val="left" w:pos="7572"/>
        </w:tabs>
        <w:spacing w:line="360" w:lineRule="exact"/>
        <w:jc w:val="center"/>
        <w:rPr>
          <w:b/>
          <w:sz w:val="30"/>
        </w:rPr>
      </w:pPr>
      <w:r>
        <w:rPr>
          <w:rFonts w:hint="eastAsia"/>
          <w:b/>
          <w:sz w:val="30"/>
        </w:rPr>
        <w:t>资格及响应性审查表</w:t>
      </w:r>
    </w:p>
    <w:p w14:paraId="40F835D6">
      <w:pPr>
        <w:tabs>
          <w:tab w:val="left" w:pos="7572"/>
        </w:tabs>
        <w:spacing w:line="360" w:lineRule="exact"/>
        <w:ind w:firstLine="8011" w:firstLineChars="3800"/>
        <w:jc w:val="right"/>
        <w:rPr>
          <w:rFonts w:ascii="宋体"/>
          <w:b/>
          <w:bCs/>
        </w:rPr>
      </w:pPr>
      <w:r>
        <w:rPr>
          <w:rFonts w:hint="eastAsia" w:ascii="宋体"/>
          <w:b/>
          <w:bCs/>
        </w:rPr>
        <w:t>项目名</w:t>
      </w:r>
      <w:r>
        <w:rPr>
          <w:rFonts w:hint="eastAsia" w:ascii="宋体"/>
          <w:b/>
          <w:bCs/>
          <w:szCs w:val="22"/>
        </w:rPr>
        <w:t>称：</w:t>
      </w:r>
      <w:r>
        <w:rPr>
          <w:rFonts w:hint="eastAsia" w:ascii="宋体"/>
          <w:b/>
          <w:bCs/>
        </w:rPr>
        <w:t>2026年度智融宣传服务合作方招募</w:t>
      </w:r>
    </w:p>
    <w:tbl>
      <w:tblPr>
        <w:tblStyle w:val="17"/>
        <w:tblW w:w="12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830"/>
        <w:gridCol w:w="1230"/>
      </w:tblGrid>
      <w:tr w14:paraId="63ED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24" w:type="dxa"/>
            <w:vAlign w:val="center"/>
          </w:tcPr>
          <w:p w14:paraId="0B394ACA">
            <w:pPr>
              <w:jc w:val="center"/>
              <w:rPr>
                <w:rFonts w:ascii="宋体" w:hAnsi="宋体" w:cs="宋体"/>
                <w:b/>
                <w:spacing w:val="-20"/>
                <w:sz w:val="24"/>
              </w:rPr>
            </w:pPr>
            <w:r>
              <w:rPr>
                <w:rFonts w:hint="eastAsia" w:ascii="宋体" w:hAnsi="宋体" w:cs="宋体"/>
                <w:b/>
                <w:spacing w:val="-20"/>
                <w:sz w:val="24"/>
              </w:rPr>
              <w:t>序号</w:t>
            </w:r>
          </w:p>
        </w:tc>
        <w:tc>
          <w:tcPr>
            <w:tcW w:w="10830" w:type="dxa"/>
            <w:vAlign w:val="center"/>
          </w:tcPr>
          <w:p w14:paraId="55E3468F">
            <w:pPr>
              <w:jc w:val="center"/>
              <w:rPr>
                <w:rFonts w:ascii="宋体" w:hAnsi="宋体" w:cs="宋体"/>
                <w:b/>
                <w:sz w:val="24"/>
              </w:rPr>
            </w:pPr>
            <w:r>
              <w:rPr>
                <w:rFonts w:hint="eastAsia" w:ascii="宋体" w:hAnsi="宋体" w:cs="宋体"/>
                <w:b/>
                <w:spacing w:val="-20"/>
                <w:sz w:val="24"/>
              </w:rPr>
              <w:t xml:space="preserve">     资格审查要求</w:t>
            </w:r>
          </w:p>
        </w:tc>
        <w:tc>
          <w:tcPr>
            <w:tcW w:w="1230" w:type="dxa"/>
            <w:vAlign w:val="center"/>
          </w:tcPr>
          <w:p w14:paraId="2F6AAD9B">
            <w:pPr>
              <w:jc w:val="center"/>
              <w:rPr>
                <w:rFonts w:ascii="宋体" w:hAnsi="宋体" w:cs="宋体"/>
                <w:b/>
                <w:spacing w:val="-20"/>
                <w:sz w:val="24"/>
              </w:rPr>
            </w:pPr>
            <w:r>
              <w:rPr>
                <w:rFonts w:hint="eastAsia" w:ascii="宋体" w:hAnsi="宋体" w:cs="宋体"/>
                <w:b/>
                <w:spacing w:val="-20"/>
                <w:sz w:val="24"/>
              </w:rPr>
              <w:t>审查结果</w:t>
            </w:r>
          </w:p>
        </w:tc>
      </w:tr>
      <w:tr w14:paraId="77BA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824" w:type="dxa"/>
            <w:vAlign w:val="center"/>
          </w:tcPr>
          <w:p w14:paraId="141DFEEB">
            <w:pPr>
              <w:spacing w:line="220" w:lineRule="exact"/>
              <w:jc w:val="center"/>
              <w:rPr>
                <w:rFonts w:ascii="宋体"/>
                <w:spacing w:val="-20"/>
                <w:sz w:val="24"/>
              </w:rPr>
            </w:pPr>
            <w:r>
              <w:rPr>
                <w:rFonts w:hint="eastAsia" w:ascii="宋体"/>
                <w:spacing w:val="-20"/>
                <w:sz w:val="24"/>
              </w:rPr>
              <w:t>1</w:t>
            </w:r>
          </w:p>
        </w:tc>
        <w:tc>
          <w:tcPr>
            <w:tcW w:w="10830" w:type="dxa"/>
            <w:vAlign w:val="center"/>
          </w:tcPr>
          <w:p w14:paraId="06A6AD88">
            <w:pPr>
              <w:jc w:val="left"/>
              <w:rPr>
                <w:rFonts w:ascii="宋体" w:hAnsi="宋体" w:cs="宋体"/>
                <w:kern w:val="0"/>
                <w:sz w:val="24"/>
              </w:rPr>
            </w:pPr>
            <w:r>
              <w:rPr>
                <w:rFonts w:hint="eastAsia" w:ascii="宋体" w:hAnsi="宋体" w:cs="宋体"/>
                <w:kern w:val="0"/>
                <w:sz w:val="24"/>
              </w:rPr>
              <w:t>招募对象应是具有独立法人资格，有能力提供相关内容及服务的国内企业</w:t>
            </w:r>
          </w:p>
          <w:p w14:paraId="1428F24B">
            <w:pPr>
              <w:jc w:val="left"/>
              <w:rPr>
                <w:rFonts w:ascii="宋体" w:hAnsi="宋体" w:eastAsia="宋体" w:cs="宋体"/>
                <w:kern w:val="0"/>
                <w:sz w:val="24"/>
              </w:rPr>
            </w:pPr>
            <w:r>
              <w:rPr>
                <w:rFonts w:hint="eastAsia" w:ascii="宋体" w:hAnsi="宋体" w:cs="宋体"/>
                <w:kern w:val="0"/>
                <w:sz w:val="24"/>
              </w:rPr>
              <w:t>(招募对象应提供合格有效的三证合一的企业法人营业执照副本复印件，并加盖单位公章)。</w:t>
            </w:r>
          </w:p>
        </w:tc>
        <w:tc>
          <w:tcPr>
            <w:tcW w:w="1230" w:type="dxa"/>
            <w:vAlign w:val="center"/>
          </w:tcPr>
          <w:p w14:paraId="42F958F4">
            <w:pPr>
              <w:jc w:val="center"/>
              <w:rPr>
                <w:rFonts w:ascii="宋体"/>
                <w:sz w:val="24"/>
              </w:rPr>
            </w:pPr>
          </w:p>
        </w:tc>
      </w:tr>
      <w:tr w14:paraId="4A76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824" w:type="dxa"/>
            <w:vAlign w:val="center"/>
          </w:tcPr>
          <w:p w14:paraId="4E52D65F">
            <w:pPr>
              <w:spacing w:line="220" w:lineRule="exact"/>
              <w:jc w:val="center"/>
              <w:rPr>
                <w:rFonts w:ascii="宋体"/>
                <w:spacing w:val="-20"/>
                <w:sz w:val="24"/>
              </w:rPr>
            </w:pPr>
            <w:r>
              <w:rPr>
                <w:rFonts w:ascii="宋体"/>
                <w:spacing w:val="-20"/>
                <w:sz w:val="24"/>
              </w:rPr>
              <w:t>2</w:t>
            </w:r>
          </w:p>
        </w:tc>
        <w:tc>
          <w:tcPr>
            <w:tcW w:w="10830" w:type="dxa"/>
            <w:vAlign w:val="center"/>
          </w:tcPr>
          <w:p w14:paraId="0F4274E4">
            <w:pPr>
              <w:jc w:val="left"/>
              <w:rPr>
                <w:rFonts w:ascii="宋体" w:hAnsi="宋体" w:eastAsia="宋体" w:cs="宋体"/>
                <w:kern w:val="0"/>
                <w:sz w:val="24"/>
              </w:rPr>
            </w:pPr>
            <w:r>
              <w:rPr>
                <w:rFonts w:hint="eastAsia" w:ascii="宋体" w:hAnsi="宋体" w:cs="宋体"/>
                <w:kern w:val="0"/>
                <w:sz w:val="24"/>
              </w:rPr>
              <w:t>招募对象应通过“信用中国”网站（www.creditchina.gov.cn）、中国政府采购网（www.ccgp.gov.cn）、中国执行信息公开网（http://zxgk.court.gov.cn/）查询并打印相应的信用记录（查询日期应为招募公告期间，并加盖单位公章）。</w:t>
            </w:r>
          </w:p>
        </w:tc>
        <w:tc>
          <w:tcPr>
            <w:tcW w:w="1230" w:type="dxa"/>
            <w:vAlign w:val="center"/>
          </w:tcPr>
          <w:p w14:paraId="4175405B">
            <w:pPr>
              <w:jc w:val="center"/>
              <w:rPr>
                <w:rFonts w:ascii="宋体"/>
                <w:sz w:val="24"/>
              </w:rPr>
            </w:pPr>
          </w:p>
        </w:tc>
      </w:tr>
      <w:tr w14:paraId="2BD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824" w:type="dxa"/>
            <w:vAlign w:val="center"/>
          </w:tcPr>
          <w:p w14:paraId="52989672">
            <w:pPr>
              <w:spacing w:line="220" w:lineRule="exact"/>
              <w:jc w:val="center"/>
              <w:rPr>
                <w:rFonts w:ascii="宋体" w:eastAsia="宋体"/>
                <w:spacing w:val="-20"/>
                <w:sz w:val="24"/>
              </w:rPr>
            </w:pPr>
            <w:r>
              <w:rPr>
                <w:rFonts w:ascii="宋体"/>
                <w:spacing w:val="-20"/>
                <w:sz w:val="24"/>
              </w:rPr>
              <w:t>3</w:t>
            </w:r>
          </w:p>
        </w:tc>
        <w:tc>
          <w:tcPr>
            <w:tcW w:w="10830" w:type="dxa"/>
            <w:vAlign w:val="center"/>
          </w:tcPr>
          <w:p w14:paraId="7F5E047C">
            <w:pPr>
              <w:jc w:val="left"/>
              <w:rPr>
                <w:rFonts w:ascii="宋体" w:hAnsi="宋体" w:eastAsia="宋体" w:cs="宋体"/>
                <w:kern w:val="0"/>
                <w:sz w:val="24"/>
                <w:lang w:eastAsia="zh-Hans"/>
              </w:rPr>
            </w:pPr>
            <w:r>
              <w:rPr>
                <w:rFonts w:hint="eastAsia" w:ascii="宋体" w:hAnsi="宋体" w:cs="宋体"/>
                <w:kern w:val="0"/>
                <w:sz w:val="24"/>
                <w:lang w:eastAsia="zh-Hans"/>
              </w:rPr>
              <w:t>招募对象应承诺自202</w:t>
            </w:r>
            <w:r>
              <w:rPr>
                <w:rFonts w:hint="eastAsia" w:ascii="宋体" w:hAnsi="宋体" w:cs="宋体"/>
                <w:kern w:val="0"/>
                <w:sz w:val="24"/>
              </w:rPr>
              <w:t>2</w:t>
            </w:r>
            <w:r>
              <w:rPr>
                <w:rFonts w:hint="eastAsia" w:ascii="宋体" w:hAnsi="宋体" w:cs="宋体"/>
                <w:kern w:val="0"/>
                <w:sz w:val="24"/>
                <w:lang w:eastAsia="zh-Hans"/>
              </w:rPr>
              <w:t>年1月1日起至本项目招募公示结束时间止，在福建广电网络集团股份有限公司或福建广电网络融媒体科技有限责任公司无不良合同履行记录（提供合作服务承诺函，并加盖单位公章），若有，其招募文件将被拒绝。</w:t>
            </w:r>
          </w:p>
        </w:tc>
        <w:tc>
          <w:tcPr>
            <w:tcW w:w="1230" w:type="dxa"/>
            <w:vAlign w:val="center"/>
          </w:tcPr>
          <w:p w14:paraId="101C8A7E">
            <w:pPr>
              <w:jc w:val="center"/>
              <w:rPr>
                <w:rFonts w:ascii="宋体"/>
                <w:sz w:val="24"/>
              </w:rPr>
            </w:pPr>
          </w:p>
        </w:tc>
      </w:tr>
      <w:tr w14:paraId="46AA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824" w:type="dxa"/>
            <w:vAlign w:val="center"/>
          </w:tcPr>
          <w:p w14:paraId="711E6FA3">
            <w:pPr>
              <w:spacing w:line="220" w:lineRule="exact"/>
              <w:jc w:val="center"/>
              <w:rPr>
                <w:rFonts w:ascii="宋体" w:eastAsia="宋体"/>
                <w:spacing w:val="-20"/>
                <w:sz w:val="24"/>
              </w:rPr>
            </w:pPr>
            <w:r>
              <w:rPr>
                <w:rFonts w:ascii="宋体"/>
                <w:spacing w:val="-20"/>
                <w:sz w:val="24"/>
              </w:rPr>
              <w:t>4</w:t>
            </w:r>
          </w:p>
        </w:tc>
        <w:tc>
          <w:tcPr>
            <w:tcW w:w="10830" w:type="dxa"/>
            <w:vAlign w:val="center"/>
          </w:tcPr>
          <w:p w14:paraId="7B537972">
            <w:pPr>
              <w:jc w:val="left"/>
              <w:rPr>
                <w:rFonts w:ascii="宋体" w:hAnsi="宋体" w:cs="宋体"/>
                <w:kern w:val="0"/>
                <w:sz w:val="24"/>
              </w:rPr>
            </w:pPr>
            <w:r>
              <w:rPr>
                <w:rFonts w:hint="eastAsia" w:ascii="宋体" w:hAnsi="宋体" w:eastAsia="宋体" w:cs="宋体"/>
                <w:kern w:val="0"/>
                <w:sz w:val="24"/>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tc>
        <w:tc>
          <w:tcPr>
            <w:tcW w:w="1230" w:type="dxa"/>
            <w:vAlign w:val="center"/>
          </w:tcPr>
          <w:p w14:paraId="5E2916CC">
            <w:pPr>
              <w:jc w:val="center"/>
              <w:rPr>
                <w:rFonts w:ascii="宋体"/>
                <w:sz w:val="24"/>
              </w:rPr>
            </w:pPr>
          </w:p>
        </w:tc>
      </w:tr>
      <w:tr w14:paraId="5B16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824" w:type="dxa"/>
            <w:vAlign w:val="center"/>
          </w:tcPr>
          <w:p w14:paraId="58838106">
            <w:pPr>
              <w:spacing w:line="220" w:lineRule="exact"/>
              <w:jc w:val="center"/>
              <w:rPr>
                <w:rFonts w:ascii="宋体"/>
                <w:spacing w:val="-20"/>
                <w:sz w:val="24"/>
              </w:rPr>
            </w:pPr>
            <w:r>
              <w:rPr>
                <w:rFonts w:ascii="宋体"/>
                <w:spacing w:val="-20"/>
                <w:sz w:val="24"/>
              </w:rPr>
              <w:t>5</w:t>
            </w:r>
          </w:p>
        </w:tc>
        <w:tc>
          <w:tcPr>
            <w:tcW w:w="10830" w:type="dxa"/>
            <w:vAlign w:val="center"/>
          </w:tcPr>
          <w:p w14:paraId="6DC7AD32">
            <w:pPr>
              <w:jc w:val="left"/>
              <w:rPr>
                <w:rFonts w:ascii="宋体" w:hAnsi="宋体" w:cs="宋体"/>
                <w:kern w:val="0"/>
                <w:sz w:val="24"/>
              </w:rPr>
            </w:pPr>
            <w:r>
              <w:rPr>
                <w:rFonts w:ascii="宋体" w:hAnsi="宋体" w:eastAsia="宋体" w:cs="宋体"/>
                <w:kern w:val="0"/>
                <w:sz w:val="24"/>
              </w:rPr>
              <w:t>合作方应提供招募响应文件提交截止时间前六个月（含当月）任意一个月的依法缴纳税收和依法缴纳社会保障资金的凭据。</w:t>
            </w:r>
          </w:p>
        </w:tc>
        <w:tc>
          <w:tcPr>
            <w:tcW w:w="1230" w:type="dxa"/>
            <w:vAlign w:val="center"/>
          </w:tcPr>
          <w:p w14:paraId="2CE6A3D3">
            <w:pPr>
              <w:jc w:val="center"/>
              <w:rPr>
                <w:rFonts w:ascii="宋体"/>
                <w:sz w:val="24"/>
              </w:rPr>
            </w:pPr>
          </w:p>
        </w:tc>
      </w:tr>
      <w:tr w14:paraId="44E9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1654" w:type="dxa"/>
            <w:gridSpan w:val="2"/>
            <w:vAlign w:val="center"/>
          </w:tcPr>
          <w:p w14:paraId="32824CB1">
            <w:pPr>
              <w:jc w:val="center"/>
              <w:rPr>
                <w:sz w:val="24"/>
              </w:rPr>
            </w:pPr>
            <w:r>
              <w:rPr>
                <w:rFonts w:hint="eastAsia"/>
                <w:b/>
                <w:spacing w:val="-20"/>
                <w:sz w:val="24"/>
              </w:rPr>
              <w:t>结                 论</w:t>
            </w:r>
          </w:p>
        </w:tc>
        <w:tc>
          <w:tcPr>
            <w:tcW w:w="1230" w:type="dxa"/>
            <w:vAlign w:val="center"/>
          </w:tcPr>
          <w:p w14:paraId="49D4EE5B">
            <w:pPr>
              <w:jc w:val="center"/>
              <w:rPr>
                <w:rFonts w:ascii="宋体"/>
                <w:b/>
                <w:sz w:val="24"/>
              </w:rPr>
            </w:pPr>
          </w:p>
        </w:tc>
      </w:tr>
    </w:tbl>
    <w:p w14:paraId="003275AF">
      <w:pPr>
        <w:spacing w:line="620" w:lineRule="exact"/>
        <w:rPr>
          <w:rFonts w:ascii="仿宋_GB2312" w:hAnsi="仿宋_GB2312" w:eastAsia="仿宋_GB2312" w:cs="仿宋_GB2312"/>
          <w:sz w:val="18"/>
          <w:szCs w:val="18"/>
        </w:rPr>
        <w:sectPr>
          <w:pgSz w:w="16838" w:h="11906" w:orient="landscape"/>
          <w:pgMar w:top="896" w:right="873" w:bottom="896" w:left="873" w:header="851" w:footer="992" w:gutter="0"/>
          <w:cols w:space="0" w:num="1"/>
          <w:docGrid w:type="lines" w:linePitch="319" w:charSpace="0"/>
        </w:sectPr>
      </w:pPr>
    </w:p>
    <w:p w14:paraId="33ECD301">
      <w:pPr>
        <w:pStyle w:val="2"/>
        <w:numPr>
          <w:ilvl w:val="255"/>
          <w:numId w:val="0"/>
        </w:numPr>
        <w:spacing w:line="400" w:lineRule="exact"/>
        <w:rPr>
          <w:sz w:val="32"/>
          <w:szCs w:val="32"/>
        </w:rPr>
      </w:pPr>
      <w:r>
        <w:rPr>
          <w:rFonts w:hint="eastAsia" w:ascii="仿宋_GB2312" w:hAnsi="仿宋" w:eastAsia="仿宋_GB2312"/>
          <w:kern w:val="0"/>
          <w:sz w:val="32"/>
          <w:szCs w:val="32"/>
        </w:rPr>
        <w:t>三、企业综合实力评分</w:t>
      </w:r>
    </w:p>
    <w:p w14:paraId="734D5C47"/>
    <w:p w14:paraId="28EC6B1B">
      <w:pPr>
        <w:spacing w:line="340" w:lineRule="exact"/>
        <w:ind w:firstLine="562" w:firstLineChars="200"/>
        <w:rPr>
          <w:rFonts w:ascii="Courier New" w:hAnsi="Courier New" w:eastAsia="宋体"/>
          <w:b/>
          <w:sz w:val="28"/>
          <w:szCs w:val="28"/>
        </w:rPr>
      </w:pPr>
    </w:p>
    <w:p w14:paraId="0F609BB4">
      <w:pPr>
        <w:spacing w:line="340" w:lineRule="exact"/>
        <w:ind w:firstLine="562" w:firstLineChars="200"/>
        <w:rPr>
          <w:rFonts w:ascii="Courier New" w:hAnsi="Courier New" w:eastAsia="宋体"/>
          <w:b/>
          <w:sz w:val="28"/>
          <w:szCs w:val="28"/>
        </w:rPr>
      </w:pPr>
    </w:p>
    <w:p w14:paraId="5D254E05">
      <w:pPr>
        <w:spacing w:line="340" w:lineRule="exact"/>
        <w:ind w:firstLine="562" w:firstLineChars="200"/>
        <w:rPr>
          <w:rFonts w:ascii="Courier New" w:hAnsi="Courier New" w:eastAsia="宋体"/>
          <w:b/>
          <w:sz w:val="28"/>
          <w:szCs w:val="28"/>
        </w:rPr>
      </w:pPr>
    </w:p>
    <w:p w14:paraId="248E03D8">
      <w:pPr>
        <w:spacing w:line="340" w:lineRule="exact"/>
        <w:ind w:firstLine="562" w:firstLineChars="200"/>
        <w:rPr>
          <w:rFonts w:ascii="Courier New" w:hAnsi="Courier New" w:eastAsia="宋体"/>
          <w:b/>
          <w:sz w:val="28"/>
          <w:szCs w:val="28"/>
        </w:rPr>
      </w:pPr>
    </w:p>
    <w:p w14:paraId="2DFD4E21">
      <w:pPr>
        <w:spacing w:line="340" w:lineRule="exact"/>
        <w:ind w:firstLine="562" w:firstLineChars="200"/>
        <w:rPr>
          <w:rFonts w:ascii="Courier New" w:hAnsi="Courier New" w:eastAsia="宋体"/>
          <w:b/>
          <w:sz w:val="28"/>
          <w:szCs w:val="28"/>
        </w:rPr>
      </w:pPr>
    </w:p>
    <w:p w14:paraId="5EC9F3F4">
      <w:pPr>
        <w:spacing w:line="340" w:lineRule="exact"/>
        <w:ind w:firstLine="562" w:firstLineChars="200"/>
        <w:rPr>
          <w:rFonts w:ascii="Courier New" w:hAnsi="Courier New" w:eastAsia="宋体"/>
          <w:b/>
          <w:sz w:val="28"/>
          <w:szCs w:val="28"/>
        </w:rPr>
      </w:pPr>
    </w:p>
    <w:p w14:paraId="779E715E">
      <w:pPr>
        <w:spacing w:line="340" w:lineRule="exact"/>
        <w:ind w:firstLine="562" w:firstLineChars="200"/>
        <w:rPr>
          <w:rFonts w:ascii="Courier New" w:hAnsi="Courier New" w:eastAsia="宋体"/>
          <w:b/>
          <w:sz w:val="28"/>
          <w:szCs w:val="28"/>
        </w:rPr>
      </w:pPr>
    </w:p>
    <w:p w14:paraId="22E7F812">
      <w:pPr>
        <w:spacing w:line="340" w:lineRule="exact"/>
        <w:ind w:firstLine="562" w:firstLineChars="200"/>
        <w:rPr>
          <w:rFonts w:ascii="Courier New" w:hAnsi="Courier New" w:eastAsia="宋体"/>
          <w:b/>
          <w:sz w:val="28"/>
          <w:szCs w:val="28"/>
        </w:rPr>
      </w:pPr>
    </w:p>
    <w:p w14:paraId="3825A63A">
      <w:pPr>
        <w:spacing w:line="340" w:lineRule="exact"/>
        <w:ind w:firstLine="562" w:firstLineChars="200"/>
        <w:rPr>
          <w:rFonts w:ascii="Courier New" w:hAnsi="Courier New" w:eastAsia="宋体"/>
          <w:b/>
          <w:sz w:val="28"/>
          <w:szCs w:val="28"/>
        </w:rPr>
      </w:pPr>
    </w:p>
    <w:p w14:paraId="6433FCB4">
      <w:pPr>
        <w:spacing w:line="340" w:lineRule="exact"/>
        <w:ind w:firstLine="562" w:firstLineChars="200"/>
        <w:rPr>
          <w:rFonts w:ascii="Courier New" w:hAnsi="Courier New" w:eastAsia="宋体"/>
          <w:b/>
          <w:sz w:val="28"/>
          <w:szCs w:val="28"/>
        </w:rPr>
      </w:pPr>
    </w:p>
    <w:p w14:paraId="61E84CC2">
      <w:pPr>
        <w:spacing w:line="340" w:lineRule="exact"/>
        <w:ind w:firstLine="562" w:firstLineChars="200"/>
        <w:rPr>
          <w:rFonts w:ascii="Courier New" w:hAnsi="Courier New" w:eastAsia="宋体"/>
          <w:b/>
          <w:sz w:val="28"/>
          <w:szCs w:val="28"/>
        </w:rPr>
      </w:pPr>
    </w:p>
    <w:p w14:paraId="293250C0">
      <w:pPr>
        <w:spacing w:line="340" w:lineRule="exact"/>
        <w:ind w:firstLine="562" w:firstLineChars="200"/>
        <w:rPr>
          <w:rFonts w:ascii="Courier New" w:hAnsi="Courier New" w:eastAsia="宋体"/>
          <w:b/>
          <w:sz w:val="28"/>
          <w:szCs w:val="28"/>
        </w:rPr>
      </w:pPr>
    </w:p>
    <w:p w14:paraId="61D6333C">
      <w:pPr>
        <w:spacing w:line="340" w:lineRule="exact"/>
        <w:rPr>
          <w:rFonts w:ascii="Courier New" w:hAnsi="Courier New" w:eastAsia="宋体"/>
          <w:b/>
          <w:sz w:val="28"/>
          <w:szCs w:val="28"/>
        </w:rPr>
      </w:pPr>
    </w:p>
    <w:p w14:paraId="5473B0B5"/>
    <w:p w14:paraId="18BB3925">
      <w:pPr>
        <w:pStyle w:val="2"/>
        <w:spacing w:line="400" w:lineRule="exact"/>
        <w:rPr>
          <w:rFonts w:ascii="宋体" w:hAnsi="宋体"/>
          <w:sz w:val="32"/>
          <w:szCs w:val="32"/>
        </w:rPr>
      </w:pPr>
      <w:bookmarkStart w:id="117" w:name="_Toc28411"/>
      <w:bookmarkStart w:id="118" w:name="_Toc7841"/>
      <w:bookmarkStart w:id="119" w:name="_Toc22309"/>
      <w:r>
        <w:rPr>
          <w:rFonts w:hint="eastAsia" w:ascii="宋体" w:hAnsi="宋体"/>
          <w:sz w:val="32"/>
          <w:szCs w:val="32"/>
        </w:rPr>
        <w:t>四、</w:t>
      </w:r>
      <w:bookmarkEnd w:id="117"/>
      <w:bookmarkEnd w:id="118"/>
      <w:bookmarkEnd w:id="119"/>
      <w:r>
        <w:rPr>
          <w:rFonts w:hint="eastAsia" w:ascii="宋体" w:hAnsi="宋体"/>
          <w:sz w:val="32"/>
          <w:szCs w:val="32"/>
        </w:rPr>
        <w:t>合作分成比例评分</w:t>
      </w:r>
    </w:p>
    <w:p w14:paraId="485063FF"/>
    <w:p w14:paraId="78CE6233"/>
    <w:p w14:paraId="1E339955">
      <w:pPr>
        <w:jc w:val="center"/>
        <w:rPr>
          <w:rFonts w:ascii="宋体" w:hAnsi="宋体"/>
          <w:b/>
          <w:sz w:val="32"/>
          <w:szCs w:val="32"/>
        </w:rPr>
      </w:pPr>
      <w:r>
        <w:rPr>
          <w:rFonts w:hint="eastAsia" w:ascii="方正小标宋简体" w:hAnsi="方正小标宋简体" w:eastAsia="方正小标宋简体" w:cs="方正小标宋简体"/>
          <w:bCs/>
          <w:sz w:val="32"/>
          <w:szCs w:val="32"/>
        </w:rPr>
        <w:t>合作服务承诺函（模板）</w:t>
      </w:r>
    </w:p>
    <w:p w14:paraId="2BC84BF6">
      <w:pPr>
        <w:spacing w:line="380" w:lineRule="exact"/>
        <w:rPr>
          <w:rFonts w:ascii="宋体" w:hAnsi="宋体"/>
          <w:sz w:val="24"/>
        </w:rPr>
      </w:pPr>
    </w:p>
    <w:p w14:paraId="0EE730E7">
      <w:pPr>
        <w:spacing w:line="380" w:lineRule="exact"/>
        <w:ind w:firstLine="480" w:firstLineChars="200"/>
        <w:rPr>
          <w:rFonts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14:paraId="52810A43">
      <w:pPr>
        <w:spacing w:line="380" w:lineRule="exact"/>
        <w:rPr>
          <w:rFonts w:ascii="宋体" w:hAnsi="宋体"/>
          <w:sz w:val="24"/>
        </w:rPr>
      </w:pPr>
    </w:p>
    <w:p w14:paraId="0A0E633F">
      <w:pPr>
        <w:spacing w:line="380" w:lineRule="exact"/>
        <w:rPr>
          <w:rFonts w:ascii="宋体" w:hAnsi="宋体"/>
          <w:sz w:val="24"/>
        </w:rPr>
      </w:pPr>
    </w:p>
    <w:p w14:paraId="6F658386">
      <w:pPr>
        <w:spacing w:line="380" w:lineRule="exact"/>
        <w:rPr>
          <w:rFonts w:ascii="宋体" w:hAnsi="宋体"/>
          <w:sz w:val="24"/>
        </w:rPr>
      </w:pPr>
    </w:p>
    <w:p w14:paraId="30D35C62">
      <w:pPr>
        <w:spacing w:line="380" w:lineRule="exact"/>
        <w:rPr>
          <w:rFonts w:ascii="宋体" w:hAnsi="宋体"/>
          <w:sz w:val="24"/>
        </w:rPr>
      </w:pPr>
    </w:p>
    <w:p w14:paraId="0F3A659C">
      <w:pPr>
        <w:spacing w:line="380" w:lineRule="exact"/>
        <w:rPr>
          <w:rFonts w:ascii="宋体" w:hAnsi="宋体"/>
          <w:sz w:val="24"/>
        </w:rPr>
      </w:pPr>
    </w:p>
    <w:p w14:paraId="48B9AF74">
      <w:pPr>
        <w:spacing w:line="380" w:lineRule="exact"/>
        <w:rPr>
          <w:rFonts w:ascii="宋体" w:hAnsi="宋体"/>
          <w:sz w:val="24"/>
        </w:rPr>
      </w:pPr>
    </w:p>
    <w:p w14:paraId="2F55A264">
      <w:pPr>
        <w:spacing w:line="380" w:lineRule="exact"/>
        <w:rPr>
          <w:rFonts w:ascii="宋体" w:hAnsi="宋体"/>
          <w:sz w:val="24"/>
        </w:rPr>
      </w:pPr>
    </w:p>
    <w:p w14:paraId="178B29CA">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14:paraId="5465902C">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p>
    <w:p w14:paraId="66D7E4FE">
      <w:pPr>
        <w:spacing w:line="380" w:lineRule="exac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p>
    <w:p w14:paraId="08DCDDE0">
      <w:pPr>
        <w:jc w:val="center"/>
        <w:rPr>
          <w:rFonts w:ascii="方正小标宋简体" w:hAnsi="方正小标宋简体" w:eastAsia="方正小标宋简体" w:cs="方正小标宋简体"/>
          <w:bCs/>
          <w:sz w:val="32"/>
          <w:szCs w:val="32"/>
        </w:rPr>
      </w:pPr>
    </w:p>
    <w:p w14:paraId="2AE48162">
      <w:pPr>
        <w:pStyle w:val="2"/>
        <w:spacing w:line="400" w:lineRule="exact"/>
        <w:rPr>
          <w:color w:val="000000"/>
          <w:sz w:val="24"/>
        </w:rPr>
      </w:pPr>
      <w:bookmarkStart w:id="120" w:name="_Toc14135"/>
      <w:bookmarkStart w:id="121" w:name="_Toc22652"/>
      <w:bookmarkStart w:id="122" w:name="_Toc2517"/>
      <w:bookmarkStart w:id="123" w:name="_Toc16904"/>
      <w:bookmarkStart w:id="124" w:name="_Toc9177"/>
      <w:bookmarkStart w:id="125" w:name="_Toc15519"/>
      <w:r>
        <w:rPr>
          <w:rFonts w:hint="eastAsia"/>
          <w:sz w:val="32"/>
          <w:szCs w:val="32"/>
        </w:rPr>
        <w:t>附件：招募响应文件的密封和标记</w:t>
      </w:r>
      <w:bookmarkEnd w:id="120"/>
      <w:bookmarkEnd w:id="121"/>
      <w:bookmarkEnd w:id="122"/>
      <w:bookmarkEnd w:id="123"/>
      <w:bookmarkEnd w:id="124"/>
      <w:bookmarkEnd w:id="125"/>
    </w:p>
    <w:p w14:paraId="24D1B4FE">
      <w:pPr>
        <w:spacing w:line="500" w:lineRule="exact"/>
        <w:jc w:val="center"/>
        <w:rPr>
          <w:rFonts w:eastAsia="黑体"/>
          <w:b/>
          <w:bCs/>
          <w:color w:val="000000"/>
          <w:sz w:val="36"/>
        </w:rPr>
      </w:pPr>
      <w:r>
        <w:rPr>
          <w:rFonts w:hint="eastAsia" w:eastAsia="黑体"/>
          <w:b/>
          <w:bCs/>
          <w:color w:val="000000"/>
          <w:sz w:val="36"/>
        </w:rPr>
        <w:t>招募响应</w:t>
      </w:r>
      <w:r>
        <w:rPr>
          <w:rFonts w:eastAsia="黑体"/>
          <w:b/>
          <w:bCs/>
          <w:color w:val="000000"/>
          <w:sz w:val="36"/>
        </w:rPr>
        <w:t>文件密封信封正面格式</w:t>
      </w:r>
    </w:p>
    <w:p w14:paraId="53457168">
      <w:pPr>
        <w:spacing w:line="500" w:lineRule="exact"/>
        <w:jc w:val="center"/>
        <w:rPr>
          <w:rFonts w:eastAsia="黑体"/>
          <w:b/>
          <w:bCs/>
          <w:color w:val="000000"/>
          <w:sz w:val="36"/>
        </w:rPr>
      </w:pPr>
    </w:p>
    <w:tbl>
      <w:tblPr>
        <w:tblStyle w:val="17"/>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079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6408FBA0">
            <w:pPr>
              <w:spacing w:line="500" w:lineRule="exact"/>
              <w:jc w:val="center"/>
              <w:rPr>
                <w:b/>
                <w:color w:val="000000"/>
                <w:sz w:val="28"/>
              </w:rPr>
            </w:pPr>
            <w:r>
              <w:rPr>
                <w:color w:val="000000"/>
              </w:rPr>
              <w:t xml:space="preserve">                                                                </w:t>
            </w:r>
            <w:r>
              <w:rPr>
                <w:b/>
                <w:color w:val="000000"/>
                <w:sz w:val="28"/>
              </w:rPr>
              <w:t>正（副）本</w:t>
            </w:r>
          </w:p>
          <w:p w14:paraId="20788247">
            <w:pPr>
              <w:spacing w:line="360" w:lineRule="auto"/>
              <w:ind w:firstLine="602" w:firstLineChars="200"/>
              <w:rPr>
                <w:b/>
                <w:color w:val="000000"/>
                <w:sz w:val="30"/>
                <w:u w:val="single"/>
              </w:rPr>
            </w:pPr>
            <w:r>
              <w:rPr>
                <w:b/>
                <w:color w:val="000000"/>
                <w:sz w:val="30"/>
              </w:rPr>
              <w:t>项目编号：</w:t>
            </w:r>
            <w:r>
              <w:rPr>
                <w:b/>
                <w:color w:val="000000"/>
                <w:sz w:val="30"/>
                <w:u w:val="single"/>
              </w:rPr>
              <w:t xml:space="preserve">                      </w:t>
            </w:r>
          </w:p>
          <w:p w14:paraId="01678C31">
            <w:pPr>
              <w:spacing w:line="360" w:lineRule="auto"/>
              <w:ind w:firstLine="602" w:firstLineChars="200"/>
              <w:rPr>
                <w:b/>
                <w:color w:val="000000"/>
                <w:sz w:val="30"/>
              </w:rPr>
            </w:pPr>
            <w:r>
              <w:rPr>
                <w:b/>
                <w:color w:val="000000"/>
                <w:sz w:val="30"/>
              </w:rPr>
              <w:t>项目名称：</w:t>
            </w:r>
            <w:r>
              <w:rPr>
                <w:b/>
                <w:color w:val="000000"/>
                <w:sz w:val="30"/>
                <w:u w:val="single"/>
              </w:rPr>
              <w:t xml:space="preserve">                      </w:t>
            </w:r>
            <w:r>
              <w:rPr>
                <w:b/>
                <w:color w:val="000000"/>
                <w:sz w:val="30"/>
              </w:rPr>
              <w:t xml:space="preserve">   </w:t>
            </w:r>
          </w:p>
          <w:p w14:paraId="5D1DC765">
            <w:pPr>
              <w:spacing w:line="360" w:lineRule="auto"/>
              <w:ind w:firstLine="602" w:firstLineChars="200"/>
              <w:rPr>
                <w:b/>
                <w:color w:val="000000"/>
                <w:sz w:val="30"/>
                <w:u w:val="single"/>
              </w:rPr>
            </w:pPr>
            <w:r>
              <w:rPr>
                <w:rFonts w:hint="eastAsia"/>
                <w:b/>
                <w:color w:val="000000"/>
                <w:sz w:val="30"/>
              </w:rPr>
              <w:t>合作方</w:t>
            </w:r>
            <w:r>
              <w:rPr>
                <w:b/>
                <w:color w:val="000000"/>
                <w:sz w:val="30"/>
              </w:rPr>
              <w:t>名称：</w:t>
            </w:r>
            <w:r>
              <w:rPr>
                <w:b/>
                <w:color w:val="000000"/>
                <w:sz w:val="30"/>
                <w:u w:val="single"/>
              </w:rPr>
              <w:t xml:space="preserve">                   （加盖公章）</w:t>
            </w:r>
          </w:p>
          <w:p w14:paraId="78EE4FA5">
            <w:pPr>
              <w:spacing w:line="360" w:lineRule="auto"/>
              <w:ind w:firstLine="602" w:firstLineChars="200"/>
              <w:rPr>
                <w:b/>
                <w:color w:val="000000"/>
                <w:sz w:val="30"/>
                <w:u w:val="single"/>
              </w:rPr>
            </w:pPr>
            <w:r>
              <w:rPr>
                <w:b/>
                <w:color w:val="000000"/>
                <w:sz w:val="30"/>
              </w:rPr>
              <w:t>地址：</w:t>
            </w:r>
            <w:r>
              <w:rPr>
                <w:b/>
                <w:color w:val="000000"/>
                <w:sz w:val="30"/>
                <w:u w:val="single"/>
              </w:rPr>
              <w:t xml:space="preserve">                          </w:t>
            </w:r>
          </w:p>
          <w:p w14:paraId="0C2FE195">
            <w:pPr>
              <w:spacing w:line="360" w:lineRule="auto"/>
              <w:ind w:firstLine="602" w:firstLineChars="200"/>
              <w:rPr>
                <w:b/>
                <w:color w:val="000000"/>
                <w:sz w:val="30"/>
                <w:u w:val="single"/>
              </w:rPr>
            </w:pPr>
            <w:r>
              <w:rPr>
                <w:b/>
                <w:color w:val="000000"/>
                <w:sz w:val="30"/>
              </w:rPr>
              <w:t>电话：</w:t>
            </w:r>
            <w:r>
              <w:rPr>
                <w:b/>
                <w:color w:val="000000"/>
                <w:sz w:val="30"/>
                <w:u w:val="single"/>
              </w:rPr>
              <w:t xml:space="preserve">                          </w:t>
            </w:r>
          </w:p>
          <w:p w14:paraId="5C3FD9F5">
            <w:pPr>
              <w:spacing w:line="500" w:lineRule="exact"/>
              <w:rPr>
                <w:color w:val="000000"/>
              </w:rPr>
            </w:pPr>
          </w:p>
        </w:tc>
      </w:tr>
    </w:tbl>
    <w:p w14:paraId="7F2EACD0">
      <w:pPr>
        <w:spacing w:line="500" w:lineRule="exact"/>
        <w:jc w:val="center"/>
        <w:rPr>
          <w:rFonts w:eastAsia="黑体"/>
          <w:b/>
          <w:color w:val="000000"/>
          <w:sz w:val="36"/>
        </w:rPr>
      </w:pPr>
    </w:p>
    <w:p w14:paraId="519FEDB2">
      <w:pPr>
        <w:spacing w:line="500" w:lineRule="exact"/>
        <w:rPr>
          <w:rFonts w:eastAsia="黑体"/>
          <w:b/>
          <w:color w:val="000000"/>
          <w:sz w:val="36"/>
        </w:rPr>
      </w:pPr>
    </w:p>
    <w:p w14:paraId="1AC68F35">
      <w:pPr>
        <w:spacing w:line="500" w:lineRule="exact"/>
        <w:jc w:val="center"/>
        <w:rPr>
          <w:rFonts w:eastAsia="黑体"/>
          <w:b/>
          <w:color w:val="000000"/>
          <w:sz w:val="36"/>
        </w:rPr>
      </w:pPr>
    </w:p>
    <w:p w14:paraId="261BC076">
      <w:pPr>
        <w:spacing w:line="500" w:lineRule="exact"/>
        <w:jc w:val="center"/>
        <w:rPr>
          <w:rFonts w:eastAsia="黑体"/>
          <w:b/>
          <w:color w:val="000000"/>
          <w:sz w:val="36"/>
        </w:rPr>
      </w:pPr>
    </w:p>
    <w:p w14:paraId="419115FB">
      <w:pPr>
        <w:spacing w:line="500" w:lineRule="exact"/>
        <w:jc w:val="center"/>
        <w:rPr>
          <w:rFonts w:eastAsia="黑体"/>
          <w:b/>
          <w:color w:val="000000"/>
          <w:sz w:val="36"/>
        </w:rPr>
      </w:pPr>
      <w:r>
        <w:rPr>
          <w:rFonts w:hint="eastAsia" w:eastAsia="黑体"/>
          <w:b/>
          <w:color w:val="000000"/>
          <w:sz w:val="36"/>
        </w:rPr>
        <w:t>招募响应</w:t>
      </w:r>
      <w:r>
        <w:rPr>
          <w:rFonts w:eastAsia="黑体"/>
          <w:b/>
          <w:color w:val="000000"/>
          <w:sz w:val="36"/>
        </w:rPr>
        <w:t>文件密封信封封口格式</w:t>
      </w:r>
    </w:p>
    <w:p w14:paraId="67F3C01B">
      <w:pPr>
        <w:spacing w:line="500" w:lineRule="exact"/>
        <w:rPr>
          <w:color w:val="000000"/>
        </w:rPr>
      </w:pPr>
    </w:p>
    <w:tbl>
      <w:tblPr>
        <w:tblStyle w:val="1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AE1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4409B78B">
            <w:pPr>
              <w:spacing w:line="500" w:lineRule="exact"/>
              <w:rPr>
                <w:color w:val="000000"/>
              </w:rPr>
            </w:pPr>
          </w:p>
          <w:p w14:paraId="7047A361">
            <w:pPr>
              <w:spacing w:line="500" w:lineRule="exact"/>
              <w:rPr>
                <w:color w:val="000000"/>
              </w:rPr>
            </w:pPr>
          </w:p>
          <w:p w14:paraId="06D87586">
            <w:pPr>
              <w:spacing w:line="500" w:lineRule="exact"/>
              <w:rPr>
                <w:color w:val="000000"/>
              </w:rPr>
            </w:pPr>
          </w:p>
          <w:p w14:paraId="23F84A70">
            <w:pPr>
              <w:spacing w:line="500" w:lineRule="exact"/>
              <w:rPr>
                <w:color w:val="000000"/>
              </w:rPr>
            </w:pPr>
            <w:r>
              <w:rPr>
                <w:color w:val="000000"/>
              </w:rPr>
              <w:t xml:space="preserve">………………… </w:t>
            </w:r>
            <w:r>
              <w:rPr>
                <w:b/>
                <w:color w:val="000000"/>
                <w:sz w:val="30"/>
              </w:rPr>
              <w:t>于20</w:t>
            </w:r>
            <w:r>
              <w:rPr>
                <w:rFonts w:hint="eastAsia"/>
                <w:b/>
                <w:color w:val="000000"/>
                <w:sz w:val="30"/>
              </w:rPr>
              <w:t>25</w:t>
            </w:r>
            <w:r>
              <w:rPr>
                <w:b/>
                <w:color w:val="000000"/>
                <w:sz w:val="30"/>
              </w:rPr>
              <w:t>年</w:t>
            </w:r>
            <w:r>
              <w:rPr>
                <w:rFonts w:hint="eastAsia"/>
                <w:b/>
                <w:color w:val="000000"/>
                <w:sz w:val="30"/>
              </w:rPr>
              <w:t>12</w:t>
            </w:r>
            <w:r>
              <w:rPr>
                <w:b/>
                <w:color w:val="000000"/>
                <w:sz w:val="30"/>
              </w:rPr>
              <w:t>月</w:t>
            </w:r>
            <w:r>
              <w:rPr>
                <w:rFonts w:hint="eastAsia"/>
                <w:b/>
                <w:color w:val="000000"/>
                <w:sz w:val="30"/>
              </w:rPr>
              <w:t xml:space="preserve">  </w:t>
            </w:r>
            <w:r>
              <w:rPr>
                <w:b/>
                <w:color w:val="000000"/>
                <w:sz w:val="30"/>
              </w:rPr>
              <w:t>日</w:t>
            </w:r>
            <w:r>
              <w:rPr>
                <w:rFonts w:hint="eastAsia"/>
                <w:b/>
                <w:color w:val="000000"/>
                <w:sz w:val="30"/>
              </w:rPr>
              <w:t>下</w:t>
            </w:r>
            <w:r>
              <w:rPr>
                <w:b/>
                <w:color w:val="000000"/>
                <w:sz w:val="30"/>
              </w:rPr>
              <w:t>午</w:t>
            </w:r>
            <w:r>
              <w:rPr>
                <w:rFonts w:hint="eastAsia"/>
                <w:b/>
                <w:color w:val="000000"/>
                <w:sz w:val="30"/>
              </w:rPr>
              <w:t>17</w:t>
            </w:r>
            <w:r>
              <w:rPr>
                <w:b/>
                <w:color w:val="000000"/>
                <w:sz w:val="30"/>
              </w:rPr>
              <w:t>：</w:t>
            </w:r>
            <w:r>
              <w:rPr>
                <w:rFonts w:hint="eastAsia"/>
                <w:b/>
                <w:color w:val="000000"/>
                <w:sz w:val="30"/>
              </w:rPr>
              <w:t>00</w:t>
            </w:r>
            <w:r>
              <w:rPr>
                <w:b/>
                <w:color w:val="000000"/>
                <w:sz w:val="30"/>
              </w:rPr>
              <w:t>前不准启封（加盖公章）…………</w:t>
            </w:r>
          </w:p>
          <w:p w14:paraId="7C2E7247">
            <w:pPr>
              <w:spacing w:line="500" w:lineRule="exact"/>
              <w:rPr>
                <w:color w:val="000000"/>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2576195</wp:posOffset>
                      </wp:positionH>
                      <wp:positionV relativeFrom="paragraph">
                        <wp:posOffset>88265</wp:posOffset>
                      </wp:positionV>
                      <wp:extent cx="0" cy="693420"/>
                      <wp:effectExtent l="38100" t="0" r="38100" b="11430"/>
                      <wp:wrapNone/>
                      <wp:docPr id="2" name="直接连接符 2"/>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2.85pt;margin-top:6.95pt;height:54.6pt;width:0pt;z-index:251661312;mso-width-relative:page;mso-height-relative:page;" filled="f" stroked="t" coordsize="21600,21600" o:gfxdata="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e+JjtgAAAAKAQAADwAAAAAAAAABACAAAAAiAAAAZHJzL2Rvd25yZXYu&#10;eG1sUEsBAhQAFAAAAAgAh07iQEwEZqb7AQAA5QMAAA4AAAAAAAAAAQAgAAAAJwEAAGRycy9lMm9E&#10;b2MueG1sUEsFBgAAAAAGAAYAWQEAAJQFAAAAAA==&#10;">
                      <v:fill on="f" focussize="0,0"/>
                      <v:stroke color="#000000" joinstyle="round" endarrow="block"/>
                      <v:imagedata o:title=""/>
                      <o:lock v:ext="edit" aspectratio="f"/>
                    </v:line>
                  </w:pict>
                </mc:Fallback>
              </mc:AlternateContent>
            </w:r>
          </w:p>
          <w:p w14:paraId="37321ECC">
            <w:pPr>
              <w:spacing w:line="500" w:lineRule="exact"/>
              <w:rPr>
                <w:color w:val="000000"/>
              </w:rPr>
            </w:pPr>
          </w:p>
          <w:p w14:paraId="2E35E7D7">
            <w:pPr>
              <w:spacing w:line="500" w:lineRule="exact"/>
              <w:rPr>
                <w:color w:val="000000"/>
              </w:rPr>
            </w:pPr>
          </w:p>
          <w:p w14:paraId="60E7F440">
            <w:pPr>
              <w:spacing w:line="500" w:lineRule="exact"/>
              <w:rPr>
                <w:color w:val="000000"/>
              </w:rPr>
            </w:pPr>
            <w:r>
              <w:rPr>
                <w:color w:val="000000"/>
              </w:rPr>
              <w:t xml:space="preserve">                                  </w:t>
            </w:r>
            <w:r>
              <w:rPr>
                <w:b/>
                <w:color w:val="000000"/>
                <w:sz w:val="24"/>
              </w:rPr>
              <w:t>（封口处）</w:t>
            </w:r>
          </w:p>
        </w:tc>
      </w:tr>
    </w:tbl>
    <w:p w14:paraId="3D6BFC54">
      <w:pPr>
        <w:spacing w:line="500" w:lineRule="exact"/>
        <w:jc w:val="left"/>
        <w:rPr>
          <w:color w:val="000000"/>
          <w:sz w:val="28"/>
          <w:szCs w:val="28"/>
        </w:rPr>
      </w:pPr>
    </w:p>
    <w:p w14:paraId="229FC06C">
      <w:pPr>
        <w:spacing w:line="620" w:lineRule="exact"/>
        <w:rPr>
          <w:rFonts w:asciiTheme="minorEastAsia" w:hAnsiTheme="minorEastAsia" w:cstheme="minorEastAsia"/>
          <w:sz w:val="28"/>
          <w:szCs w:val="28"/>
        </w:rPr>
      </w:pPr>
    </w:p>
    <w:sectPr>
      <w:pgSz w:w="11906" w:h="16838"/>
      <w:pgMar w:top="873" w:right="896" w:bottom="873" w:left="896"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852259-25CC-4DB6-976D-442C8C5A70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01ECD491-0CC9-4567-8274-2E7699483DE9}"/>
  </w:font>
  <w:font w:name="仿宋">
    <w:panose1 w:val="02010609060101010101"/>
    <w:charset w:val="86"/>
    <w:family w:val="modern"/>
    <w:pitch w:val="default"/>
    <w:sig w:usb0="800002BF" w:usb1="38CF7CFA" w:usb2="00000016" w:usb3="00000000" w:csb0="00040001" w:csb1="00000000"/>
    <w:embedRegular r:id="rId3" w:fontKey="{98D63F6F-F88D-4F72-B5CE-7B459D77EDA1}"/>
  </w:font>
  <w:font w:name="方正仿宋_GB2312">
    <w:panose1 w:val="02000000000000000000"/>
    <w:charset w:val="86"/>
    <w:family w:val="auto"/>
    <w:pitch w:val="default"/>
    <w:sig w:usb0="A00002BF" w:usb1="184F6CFA" w:usb2="00000012" w:usb3="00000000" w:csb0="00040001" w:csb1="00000000"/>
    <w:embedRegular r:id="rId4" w:fontKey="{62DBF85F-B31F-4470-A6D3-3E9E1818CB33}"/>
  </w:font>
  <w:font w:name="Cambria">
    <w:panose1 w:val="02040503050406030204"/>
    <w:charset w:val="00"/>
    <w:family w:val="roman"/>
    <w:pitch w:val="default"/>
    <w:sig w:usb0="E00006FF" w:usb1="420024FF" w:usb2="02000000" w:usb3="00000000" w:csb0="2000019F" w:csb1="00000000"/>
    <w:embedRegular r:id="rId5" w:fontKey="{F8E06F28-7624-49A9-B48B-B32AC8A51AB7}"/>
  </w:font>
  <w:font w:name="方正小标宋简体">
    <w:panose1 w:val="03000509000000000000"/>
    <w:charset w:val="86"/>
    <w:family w:val="script"/>
    <w:pitch w:val="default"/>
    <w:sig w:usb0="00000001" w:usb1="080E0000" w:usb2="00000000" w:usb3="00000000" w:csb0="00040000" w:csb1="00000000"/>
    <w:embedRegular r:id="rId6" w:fontKey="{68D992B9-BAA1-48F3-908F-2A78FA51BFA0}"/>
  </w:font>
  <w:font w:name="方正公文小标宋">
    <w:altName w:val="宋体"/>
    <w:panose1 w:val="020B0604020202020204"/>
    <w:charset w:val="86"/>
    <w:family w:val="auto"/>
    <w:pitch w:val="default"/>
    <w:sig w:usb0="00000000" w:usb1="00000000" w:usb2="00000016" w:usb3="00000000" w:csb0="00040001" w:csb1="00000000"/>
    <w:embedRegular r:id="rId7" w:fontKey="{85111EFE-569D-43E0-9FA1-97A7A31D9B56}"/>
  </w:font>
  <w:font w:name="Courier New">
    <w:panose1 w:val="02070309020205020404"/>
    <w:charset w:val="00"/>
    <w:family w:val="modern"/>
    <w:pitch w:val="default"/>
    <w:sig w:usb0="E0002EFF" w:usb1="C0007843" w:usb2="00000009" w:usb3="00000000" w:csb0="400001FF" w:csb1="FFFF0000"/>
    <w:embedRegular r:id="rId8" w:fontKey="{4EFCCAF7-1720-4D74-8619-ACEBBBC1BB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1801">
    <w:pPr>
      <w:pStyle w:val="12"/>
      <w:shd w:val="clear" w:color="auto" w:fill="FFFFFF"/>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FBCB4">
                          <w:pPr>
                            <w:pStyle w:val="12"/>
                            <w:shd w:val="clear" w:color="auto" w:fill="FFFFFF"/>
                            <w:rPr>
                              <w:rStyle w:val="20"/>
                            </w:rPr>
                          </w:pPr>
                          <w:r>
                            <w:rPr>
                              <w:rStyle w:val="20"/>
                            </w:rPr>
                            <w:fldChar w:fldCharType="begin"/>
                          </w:r>
                          <w:r>
                            <w:rPr>
                              <w:rStyle w:val="20"/>
                            </w:rPr>
                            <w:instrText xml:space="preserve">PAGE  </w:instrText>
                          </w:r>
                          <w:r>
                            <w:rPr>
                              <w:rStyle w:val="20"/>
                            </w:rPr>
                            <w:fldChar w:fldCharType="separate"/>
                          </w:r>
                          <w:r>
                            <w:rPr>
                              <w:rStyle w:val="20"/>
                            </w:rPr>
                            <w:t>21</w:t>
                          </w:r>
                          <w:r>
                            <w:rPr>
                              <w:rStyle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0FBCB4">
                    <w:pPr>
                      <w:pStyle w:val="12"/>
                      <w:shd w:val="clear" w:color="auto" w:fill="FFFFFF"/>
                      <w:rPr>
                        <w:rStyle w:val="20"/>
                      </w:rPr>
                    </w:pPr>
                    <w:r>
                      <w:rPr>
                        <w:rStyle w:val="20"/>
                      </w:rPr>
                      <w:fldChar w:fldCharType="begin"/>
                    </w:r>
                    <w:r>
                      <w:rPr>
                        <w:rStyle w:val="20"/>
                      </w:rPr>
                      <w:instrText xml:space="preserve">PAGE  </w:instrText>
                    </w:r>
                    <w:r>
                      <w:rPr>
                        <w:rStyle w:val="20"/>
                      </w:rPr>
                      <w:fldChar w:fldCharType="separate"/>
                    </w:r>
                    <w:r>
                      <w:rPr>
                        <w:rStyle w:val="20"/>
                      </w:rPr>
                      <w:t>21</w:t>
                    </w:r>
                    <w:r>
                      <w:rPr>
                        <w:rStyle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7AA3">
    <w:pPr>
      <w:shd w:val="clear" w:color="auto" w:fill="FFFFFF"/>
    </w:pPr>
    <w:r>
      <w:pict>
        <v:shape id="_x0000_s1025" o:spid="_x0000_s1025" o:spt="173" type="#_x0000_t173" style="position:absolute;left:0pt;height:0pt;width:0.05pt;mso-position-horizontal:center;mso-position-horizontal-relative:page;mso-position-vertical:center;mso-position-vertical-relative:page;z-index:-251656192;mso-width-relative:page;mso-height-relative:page;" coordsize="21600,21600">
          <v:path/>
          <v:fill focussize="0,0"/>
          <v:stroke/>
          <v:imagedata o:title=""/>
          <o:lock v:ext="edit"/>
          <v:textpath on="t" fitshape="t" fitpath="t" trim="f" xscale="f" string="搬粟铰十惯沿泽舱掣瑰脐躺唯尔悬嘻闺勿淌祁便键复撩敝励撩诺址液丰胶则将创逸巳笋面褂呻愿祁朋河犹墙闪浚怖揖猴惕骸枢投熬绕唯泰酵易狡材狭盟属丝农澎埔钢休梁硕羌箭捌锣镁腆缚芳骗杉亦捧撵杭厢株酥尾瘁踊因嵌翅俭啃尘善决稳鲁蛋屿绝份啤扼孤例尘酗闷院容导否菱光垛诅野冕寄酱不酌惺熔体痕蜂霄零仆稍蜂凹淋届秤掌乞检饼操灼谅钱孔关序埔彻恳坐祸射穗恩禽俗骏崎惠探鸿葡艇绚膝佬专姬襄穗资字缘卵纸租砚脱蒋鬃肢翟副蔷滔滓嘱缄嘻茄瓤澄侧式眷誊挺洋绞垮莎咸忌西窥团铺佰陛掠幕主厦婿采量丘铀袍份早郧怖不驳意诛沽蛤所闰寅娜袖普称嘛设驹沂家茵歧剧仍哼斩哎欲暂爬滔刺巩竿综岸嫂阿跨拨矗忌练胸移傻喳新太糯女瀑输趋斌钳峭灌封褒桔茸半歼恨换葛您裸襄婶掐形墒彤叮秤喻琵邱盔誓墙斟只肝曰绞糙我遏宅霉粪仲劳戴戒贡酪捧檬者搭肥养功搜仔涌垂温渔峻哲隔付追老奉德靡瓮功诡豌绩阑惮瞥滑诱果廷彩聪渐疯胃瞧镁潍孕乾锈椿正泞馒浑味诅谭竟虞聂疟听捐涉举纺碱坡谋伙朱珊近苦悼共范舞挥摄辉蜡壁卖漱湾结斟纳势军钎尽珐岔滁淖湃肯逛眯篆切严迹桂庸骄漳希琅序蚤歌敌剑幅玉咨买垛悉嵌彻苟摸檀极谁诡户倦舜戍疚较增毅汝会戍啮甭件申讹管篇浸久钳澡育岔截啮矣德攀慰赃蛔枷夯借沮厉囱遍哎晃丧汗纵玫契梗瞒铱疗屉米辊螟淋缄" style="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A7E60"/>
    <w:multiLevelType w:val="singleLevel"/>
    <w:tmpl w:val="ABBA7E60"/>
    <w:lvl w:ilvl="0" w:tentative="0">
      <w:start w:val="1"/>
      <w:numFmt w:val="chineseCounting"/>
      <w:suff w:val="nothing"/>
      <w:lvlText w:val="%1、"/>
      <w:lvlJc w:val="left"/>
      <w:rPr>
        <w:rFonts w:hint="eastAsia"/>
      </w:rPr>
    </w:lvl>
  </w:abstractNum>
  <w:abstractNum w:abstractNumId="1">
    <w:nsid w:val="ABF0A625"/>
    <w:multiLevelType w:val="singleLevel"/>
    <w:tmpl w:val="ABF0A625"/>
    <w:lvl w:ilvl="0" w:tentative="0">
      <w:start w:val="1"/>
      <w:numFmt w:val="decimal"/>
      <w:suff w:val="nothing"/>
      <w:lvlText w:val="%1、"/>
      <w:lvlJc w:val="left"/>
    </w:lvl>
  </w:abstractNum>
  <w:abstractNum w:abstractNumId="2">
    <w:nsid w:val="D4476B6B"/>
    <w:multiLevelType w:val="singleLevel"/>
    <w:tmpl w:val="D4476B6B"/>
    <w:lvl w:ilvl="0" w:tentative="0">
      <w:start w:val="1"/>
      <w:numFmt w:val="upperLetter"/>
      <w:suff w:val="space"/>
      <w:lvlText w:val="%1."/>
      <w:lvlJc w:val="left"/>
    </w:lvl>
  </w:abstractNum>
  <w:abstractNum w:abstractNumId="3">
    <w:nsid w:val="D586E840"/>
    <w:multiLevelType w:val="singleLevel"/>
    <w:tmpl w:val="D586E840"/>
    <w:lvl w:ilvl="0" w:tentative="0">
      <w:start w:val="1"/>
      <w:numFmt w:val="decimal"/>
      <w:suff w:val="space"/>
      <w:lvlText w:val="%1."/>
      <w:lvlJc w:val="left"/>
    </w:lvl>
  </w:abstractNum>
  <w:abstractNum w:abstractNumId="4">
    <w:nsid w:val="07D22D9F"/>
    <w:multiLevelType w:val="multilevel"/>
    <w:tmpl w:val="07D22D9F"/>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1361DA8B"/>
    <w:multiLevelType w:val="singleLevel"/>
    <w:tmpl w:val="1361DA8B"/>
    <w:lvl w:ilvl="0" w:tentative="0">
      <w:start w:val="5"/>
      <w:numFmt w:val="chineseCounting"/>
      <w:suff w:val="nothing"/>
      <w:lvlText w:val="%1、"/>
      <w:lvlJc w:val="left"/>
      <w:pPr>
        <w:ind w:left="-10"/>
      </w:pPr>
      <w:rPr>
        <w:rFonts w:hint="eastAsia"/>
      </w:rPr>
    </w:lvl>
  </w:abstractNum>
  <w:abstractNum w:abstractNumId="6">
    <w:nsid w:val="20904E7A"/>
    <w:multiLevelType w:val="singleLevel"/>
    <w:tmpl w:val="20904E7A"/>
    <w:lvl w:ilvl="0" w:tentative="0">
      <w:start w:val="1"/>
      <w:numFmt w:val="chineseCounting"/>
      <w:suff w:val="nothing"/>
      <w:lvlText w:val="%1、"/>
      <w:legacy w:legacy="1" w:legacySpace="0" w:legacyIndent="420"/>
      <w:lvlJc w:val="left"/>
      <w:pPr>
        <w:ind w:left="0" w:firstLine="420"/>
      </w:pPr>
      <w:rPr>
        <w:rFonts w:hint="eastAsia"/>
      </w:rPr>
    </w:lvl>
  </w:abstractNum>
  <w:abstractNum w:abstractNumId="7">
    <w:nsid w:val="2B005343"/>
    <w:multiLevelType w:val="multilevel"/>
    <w:tmpl w:val="2B005343"/>
    <w:lvl w:ilvl="0" w:tentative="0">
      <w:start w:val="1"/>
      <w:numFmt w:val="none"/>
      <w:lvlText w:val="一、"/>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35EA6C53"/>
    <w:multiLevelType w:val="singleLevel"/>
    <w:tmpl w:val="35EA6C53"/>
    <w:lvl w:ilvl="0" w:tentative="0">
      <w:start w:val="3"/>
      <w:numFmt w:val="chineseCounting"/>
      <w:suff w:val="nothing"/>
      <w:lvlText w:val="%1、"/>
      <w:lvlJc w:val="left"/>
      <w:rPr>
        <w:rFonts w:hint="eastAsia"/>
      </w:rPr>
    </w:lvl>
  </w:abstractNum>
  <w:abstractNum w:abstractNumId="9">
    <w:nsid w:val="706F46B3"/>
    <w:multiLevelType w:val="singleLevel"/>
    <w:tmpl w:val="706F46B3"/>
    <w:lvl w:ilvl="0" w:tentative="0">
      <w:start w:val="1"/>
      <w:numFmt w:val="decimal"/>
      <w:lvlText w:val="%1."/>
      <w:legacy w:legacy="1" w:legacySpace="0" w:legacyIndent="425"/>
      <w:lvlJc w:val="left"/>
      <w:pPr>
        <w:ind w:left="425" w:hanging="425"/>
      </w:pPr>
      <w:rPr>
        <w:rFonts w:hint="default"/>
      </w:rPr>
    </w:lvl>
  </w:abstractNum>
  <w:abstractNum w:abstractNumId="10">
    <w:nsid w:val="7AEBE761"/>
    <w:multiLevelType w:val="singleLevel"/>
    <w:tmpl w:val="7AEBE761"/>
    <w:lvl w:ilvl="0" w:tentative="0">
      <w:start w:val="1"/>
      <w:numFmt w:val="decimal"/>
      <w:suff w:val="nothing"/>
      <w:lvlText w:val="%1、"/>
      <w:lvlJc w:val="left"/>
    </w:lvl>
  </w:abstractNum>
  <w:num w:numId="1">
    <w:abstractNumId w:val="2"/>
  </w:num>
  <w:num w:numId="2">
    <w:abstractNumId w:val="10"/>
  </w:num>
  <w:num w:numId="3">
    <w:abstractNumId w:val="1"/>
  </w:num>
  <w:num w:numId="4">
    <w:abstractNumId w:val="3"/>
  </w:num>
  <w:num w:numId="5">
    <w:abstractNumId w:val="6"/>
  </w:num>
  <w:num w:numId="6">
    <w:abstractNumId w:val="9"/>
  </w:num>
  <w:num w:numId="7">
    <w:abstractNumId w:val="5"/>
  </w:num>
  <w:num w:numId="8">
    <w:abstractNumId w:val="7"/>
  </w:num>
  <w:num w:numId="9">
    <w:abstractNumId w:val="8"/>
  </w:num>
  <w:num w:numId="10">
    <w:abstractNumId w:val="4"/>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苛">
    <w15:presenceInfo w15:providerId="None" w15:userId="一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22"/>
    <w:rsid w:val="00151AC9"/>
    <w:rsid w:val="002E4041"/>
    <w:rsid w:val="00306F23"/>
    <w:rsid w:val="00315DBC"/>
    <w:rsid w:val="003166D5"/>
    <w:rsid w:val="00391CB9"/>
    <w:rsid w:val="003B1801"/>
    <w:rsid w:val="004D58D2"/>
    <w:rsid w:val="004D6C22"/>
    <w:rsid w:val="004F3DBA"/>
    <w:rsid w:val="006028D2"/>
    <w:rsid w:val="00616DF4"/>
    <w:rsid w:val="006C7042"/>
    <w:rsid w:val="00797E53"/>
    <w:rsid w:val="007B2FAD"/>
    <w:rsid w:val="007D33E4"/>
    <w:rsid w:val="008E6869"/>
    <w:rsid w:val="00927404"/>
    <w:rsid w:val="0093552B"/>
    <w:rsid w:val="00A85FBA"/>
    <w:rsid w:val="00AF0382"/>
    <w:rsid w:val="00B70E6E"/>
    <w:rsid w:val="00C329DA"/>
    <w:rsid w:val="00C37D41"/>
    <w:rsid w:val="00C4253F"/>
    <w:rsid w:val="00CB0D78"/>
    <w:rsid w:val="00CE478F"/>
    <w:rsid w:val="00DA5CE9"/>
    <w:rsid w:val="00DE662D"/>
    <w:rsid w:val="00E7448C"/>
    <w:rsid w:val="00F23301"/>
    <w:rsid w:val="00F470A3"/>
    <w:rsid w:val="01EF3980"/>
    <w:rsid w:val="023906BE"/>
    <w:rsid w:val="029D3ACA"/>
    <w:rsid w:val="031E4165"/>
    <w:rsid w:val="0344251E"/>
    <w:rsid w:val="03937B5B"/>
    <w:rsid w:val="03E52490"/>
    <w:rsid w:val="03EB7BDA"/>
    <w:rsid w:val="042042AE"/>
    <w:rsid w:val="042C2C6A"/>
    <w:rsid w:val="04622F94"/>
    <w:rsid w:val="046E4D6B"/>
    <w:rsid w:val="04A37B43"/>
    <w:rsid w:val="04B54A0D"/>
    <w:rsid w:val="04CE7E40"/>
    <w:rsid w:val="05DD246D"/>
    <w:rsid w:val="06782196"/>
    <w:rsid w:val="06CF6F75"/>
    <w:rsid w:val="0702715B"/>
    <w:rsid w:val="071B79D4"/>
    <w:rsid w:val="074D79FD"/>
    <w:rsid w:val="074F63A5"/>
    <w:rsid w:val="07560450"/>
    <w:rsid w:val="075F3454"/>
    <w:rsid w:val="07996CEF"/>
    <w:rsid w:val="07DC6755"/>
    <w:rsid w:val="09321B0D"/>
    <w:rsid w:val="098D4B78"/>
    <w:rsid w:val="09CD3F35"/>
    <w:rsid w:val="0A823524"/>
    <w:rsid w:val="0ACC6BB3"/>
    <w:rsid w:val="0B881B11"/>
    <w:rsid w:val="0C053287"/>
    <w:rsid w:val="0D2A2B7B"/>
    <w:rsid w:val="0D5D70D7"/>
    <w:rsid w:val="0DF426CC"/>
    <w:rsid w:val="0DF84A7A"/>
    <w:rsid w:val="0E205802"/>
    <w:rsid w:val="0E2E477B"/>
    <w:rsid w:val="0E684610"/>
    <w:rsid w:val="10672F83"/>
    <w:rsid w:val="11374D99"/>
    <w:rsid w:val="113E3FDC"/>
    <w:rsid w:val="1176437E"/>
    <w:rsid w:val="11851C0B"/>
    <w:rsid w:val="118539B9"/>
    <w:rsid w:val="131F6E9E"/>
    <w:rsid w:val="13250FB0"/>
    <w:rsid w:val="137D0D74"/>
    <w:rsid w:val="139E58E2"/>
    <w:rsid w:val="145F6B39"/>
    <w:rsid w:val="148544FB"/>
    <w:rsid w:val="14A37C28"/>
    <w:rsid w:val="158D6CDA"/>
    <w:rsid w:val="15A22D8C"/>
    <w:rsid w:val="15D5268A"/>
    <w:rsid w:val="15FE1FF5"/>
    <w:rsid w:val="16442D1C"/>
    <w:rsid w:val="17143815"/>
    <w:rsid w:val="175D1072"/>
    <w:rsid w:val="177176CF"/>
    <w:rsid w:val="17814414"/>
    <w:rsid w:val="178D7844"/>
    <w:rsid w:val="1867256A"/>
    <w:rsid w:val="186A69E4"/>
    <w:rsid w:val="187E4F00"/>
    <w:rsid w:val="188519D6"/>
    <w:rsid w:val="18DF3270"/>
    <w:rsid w:val="18ED4A51"/>
    <w:rsid w:val="19034533"/>
    <w:rsid w:val="1909122C"/>
    <w:rsid w:val="192E26EF"/>
    <w:rsid w:val="19763771"/>
    <w:rsid w:val="19886681"/>
    <w:rsid w:val="1A382CE0"/>
    <w:rsid w:val="1A74305B"/>
    <w:rsid w:val="1AC2325F"/>
    <w:rsid w:val="1AF25104"/>
    <w:rsid w:val="1AFD64AF"/>
    <w:rsid w:val="1B210C09"/>
    <w:rsid w:val="1BDC7A7B"/>
    <w:rsid w:val="1C116575"/>
    <w:rsid w:val="1CC423FB"/>
    <w:rsid w:val="1CE77392"/>
    <w:rsid w:val="1DC615E1"/>
    <w:rsid w:val="1E0A3BC4"/>
    <w:rsid w:val="1E1B1784"/>
    <w:rsid w:val="1E332FFC"/>
    <w:rsid w:val="1E361D63"/>
    <w:rsid w:val="1E757CB3"/>
    <w:rsid w:val="1E9D0D23"/>
    <w:rsid w:val="1F0B237A"/>
    <w:rsid w:val="1F2111C5"/>
    <w:rsid w:val="1F5554F4"/>
    <w:rsid w:val="1F7030F8"/>
    <w:rsid w:val="203B0065"/>
    <w:rsid w:val="20696DEE"/>
    <w:rsid w:val="20861C09"/>
    <w:rsid w:val="20A22D19"/>
    <w:rsid w:val="20CE0ED9"/>
    <w:rsid w:val="210466A8"/>
    <w:rsid w:val="21ED2AE7"/>
    <w:rsid w:val="22676A29"/>
    <w:rsid w:val="22DF4595"/>
    <w:rsid w:val="22FC70C7"/>
    <w:rsid w:val="230961F8"/>
    <w:rsid w:val="231F0139"/>
    <w:rsid w:val="23461857"/>
    <w:rsid w:val="235C19C9"/>
    <w:rsid w:val="23AD13B7"/>
    <w:rsid w:val="23B15D7B"/>
    <w:rsid w:val="249B102C"/>
    <w:rsid w:val="24BB5A8C"/>
    <w:rsid w:val="24D910D2"/>
    <w:rsid w:val="25003BB0"/>
    <w:rsid w:val="25292B82"/>
    <w:rsid w:val="259F4BF2"/>
    <w:rsid w:val="25A93CC2"/>
    <w:rsid w:val="25C50F70"/>
    <w:rsid w:val="25F75AEE"/>
    <w:rsid w:val="264752D0"/>
    <w:rsid w:val="265F6905"/>
    <w:rsid w:val="26B0403A"/>
    <w:rsid w:val="270C4509"/>
    <w:rsid w:val="2749750B"/>
    <w:rsid w:val="274F06F4"/>
    <w:rsid w:val="276500BD"/>
    <w:rsid w:val="284F21C8"/>
    <w:rsid w:val="29023946"/>
    <w:rsid w:val="29E5407A"/>
    <w:rsid w:val="2A47192B"/>
    <w:rsid w:val="2ABE480E"/>
    <w:rsid w:val="2B177D10"/>
    <w:rsid w:val="2B4472F3"/>
    <w:rsid w:val="2B551D09"/>
    <w:rsid w:val="2B6E3E0C"/>
    <w:rsid w:val="2B7B1C5D"/>
    <w:rsid w:val="2BDB2AF0"/>
    <w:rsid w:val="2C0327AE"/>
    <w:rsid w:val="2C0C7968"/>
    <w:rsid w:val="2C4B5AD3"/>
    <w:rsid w:val="2DB86B92"/>
    <w:rsid w:val="2DF81C81"/>
    <w:rsid w:val="2DFD2DFD"/>
    <w:rsid w:val="2EBB79A1"/>
    <w:rsid w:val="2F014D94"/>
    <w:rsid w:val="2F2F3651"/>
    <w:rsid w:val="2F5F5FD8"/>
    <w:rsid w:val="2FA554FB"/>
    <w:rsid w:val="2FC62EB2"/>
    <w:rsid w:val="2FFA5733"/>
    <w:rsid w:val="3045283A"/>
    <w:rsid w:val="31075373"/>
    <w:rsid w:val="31D26F26"/>
    <w:rsid w:val="32047796"/>
    <w:rsid w:val="32136EC9"/>
    <w:rsid w:val="322A3C41"/>
    <w:rsid w:val="323808A8"/>
    <w:rsid w:val="32BA12BD"/>
    <w:rsid w:val="331C3D26"/>
    <w:rsid w:val="335D0CAA"/>
    <w:rsid w:val="33727DEA"/>
    <w:rsid w:val="338A3E29"/>
    <w:rsid w:val="33E34843"/>
    <w:rsid w:val="33E74334"/>
    <w:rsid w:val="33F73CD2"/>
    <w:rsid w:val="341113B0"/>
    <w:rsid w:val="347375C0"/>
    <w:rsid w:val="347F7204"/>
    <w:rsid w:val="35363B2D"/>
    <w:rsid w:val="356A3CD7"/>
    <w:rsid w:val="35D5496A"/>
    <w:rsid w:val="369D517D"/>
    <w:rsid w:val="37490AB0"/>
    <w:rsid w:val="37660386"/>
    <w:rsid w:val="3793032E"/>
    <w:rsid w:val="37BB3027"/>
    <w:rsid w:val="37C123E7"/>
    <w:rsid w:val="380C220A"/>
    <w:rsid w:val="384D4981"/>
    <w:rsid w:val="38956D31"/>
    <w:rsid w:val="39776159"/>
    <w:rsid w:val="39BD22B8"/>
    <w:rsid w:val="39C36564"/>
    <w:rsid w:val="3BAD3F50"/>
    <w:rsid w:val="3BC61C87"/>
    <w:rsid w:val="3C6B2CB6"/>
    <w:rsid w:val="3D1912D6"/>
    <w:rsid w:val="3D436353"/>
    <w:rsid w:val="3DB37410"/>
    <w:rsid w:val="3E76621C"/>
    <w:rsid w:val="3E7A4850"/>
    <w:rsid w:val="3F537B8F"/>
    <w:rsid w:val="3F5C78DD"/>
    <w:rsid w:val="40C67966"/>
    <w:rsid w:val="40DD53C7"/>
    <w:rsid w:val="411710D9"/>
    <w:rsid w:val="41322966"/>
    <w:rsid w:val="421F0579"/>
    <w:rsid w:val="423D7815"/>
    <w:rsid w:val="429338D8"/>
    <w:rsid w:val="42B75819"/>
    <w:rsid w:val="43583BF4"/>
    <w:rsid w:val="4380625E"/>
    <w:rsid w:val="43AE09CA"/>
    <w:rsid w:val="43D5185B"/>
    <w:rsid w:val="43D9356D"/>
    <w:rsid w:val="44323257"/>
    <w:rsid w:val="44467592"/>
    <w:rsid w:val="445A0E1A"/>
    <w:rsid w:val="44DE52DF"/>
    <w:rsid w:val="4556453E"/>
    <w:rsid w:val="456C7A21"/>
    <w:rsid w:val="45D43FEC"/>
    <w:rsid w:val="45E92416"/>
    <w:rsid w:val="46236D21"/>
    <w:rsid w:val="46F03139"/>
    <w:rsid w:val="47653A95"/>
    <w:rsid w:val="47D633D4"/>
    <w:rsid w:val="482079BC"/>
    <w:rsid w:val="483E1A2C"/>
    <w:rsid w:val="485F1311"/>
    <w:rsid w:val="489545BA"/>
    <w:rsid w:val="489D2DBB"/>
    <w:rsid w:val="48D051EB"/>
    <w:rsid w:val="49B77EAC"/>
    <w:rsid w:val="49F23568"/>
    <w:rsid w:val="4A350488"/>
    <w:rsid w:val="4A7D10F6"/>
    <w:rsid w:val="4A8B130D"/>
    <w:rsid w:val="4A97032B"/>
    <w:rsid w:val="4B7122DD"/>
    <w:rsid w:val="4CD34FFD"/>
    <w:rsid w:val="4CED7049"/>
    <w:rsid w:val="4D7A487A"/>
    <w:rsid w:val="4DCA28A4"/>
    <w:rsid w:val="4DD70B1D"/>
    <w:rsid w:val="4E656129"/>
    <w:rsid w:val="4E771B5D"/>
    <w:rsid w:val="4FBD1EC8"/>
    <w:rsid w:val="50436375"/>
    <w:rsid w:val="50761699"/>
    <w:rsid w:val="50E5272D"/>
    <w:rsid w:val="523A1A2D"/>
    <w:rsid w:val="52C44A96"/>
    <w:rsid w:val="52F54E17"/>
    <w:rsid w:val="537A4138"/>
    <w:rsid w:val="53985AB5"/>
    <w:rsid w:val="54421C7E"/>
    <w:rsid w:val="54A30AF3"/>
    <w:rsid w:val="54AE5872"/>
    <w:rsid w:val="55E5120A"/>
    <w:rsid w:val="56110723"/>
    <w:rsid w:val="562C1C22"/>
    <w:rsid w:val="56BA722E"/>
    <w:rsid w:val="56FC479C"/>
    <w:rsid w:val="57187F83"/>
    <w:rsid w:val="57535BCA"/>
    <w:rsid w:val="57E757C7"/>
    <w:rsid w:val="57FD33E5"/>
    <w:rsid w:val="580C03E7"/>
    <w:rsid w:val="58135A14"/>
    <w:rsid w:val="58302462"/>
    <w:rsid w:val="58686E9E"/>
    <w:rsid w:val="589712A9"/>
    <w:rsid w:val="59657925"/>
    <w:rsid w:val="597731B4"/>
    <w:rsid w:val="5A897A82"/>
    <w:rsid w:val="5B910BDC"/>
    <w:rsid w:val="5C2238AB"/>
    <w:rsid w:val="5C9C7CE2"/>
    <w:rsid w:val="5D0D455B"/>
    <w:rsid w:val="5D5061F6"/>
    <w:rsid w:val="5D5932FD"/>
    <w:rsid w:val="5D8C49F1"/>
    <w:rsid w:val="5DAF6FA1"/>
    <w:rsid w:val="5E3278BE"/>
    <w:rsid w:val="5F414E1C"/>
    <w:rsid w:val="5F4955F3"/>
    <w:rsid w:val="5FEF7C85"/>
    <w:rsid w:val="60071943"/>
    <w:rsid w:val="60216E2D"/>
    <w:rsid w:val="602B679C"/>
    <w:rsid w:val="603A3F43"/>
    <w:rsid w:val="61826B9A"/>
    <w:rsid w:val="61857292"/>
    <w:rsid w:val="626A1B08"/>
    <w:rsid w:val="626F35C2"/>
    <w:rsid w:val="62830E1C"/>
    <w:rsid w:val="62B72874"/>
    <w:rsid w:val="62D24F27"/>
    <w:rsid w:val="63786F4C"/>
    <w:rsid w:val="63793E1C"/>
    <w:rsid w:val="64030466"/>
    <w:rsid w:val="64291022"/>
    <w:rsid w:val="64AA6B34"/>
    <w:rsid w:val="651D2E62"/>
    <w:rsid w:val="65A73A39"/>
    <w:rsid w:val="65E15317"/>
    <w:rsid w:val="67A95841"/>
    <w:rsid w:val="68AE37B8"/>
    <w:rsid w:val="68B05746"/>
    <w:rsid w:val="69011E8B"/>
    <w:rsid w:val="693515CB"/>
    <w:rsid w:val="693E5A9D"/>
    <w:rsid w:val="69450BD9"/>
    <w:rsid w:val="694F7200"/>
    <w:rsid w:val="697C4806"/>
    <w:rsid w:val="69A2602B"/>
    <w:rsid w:val="6A130BB9"/>
    <w:rsid w:val="6A216C0E"/>
    <w:rsid w:val="6A347D85"/>
    <w:rsid w:val="6A506348"/>
    <w:rsid w:val="6AC10733"/>
    <w:rsid w:val="6AC63B08"/>
    <w:rsid w:val="6ADC731B"/>
    <w:rsid w:val="6B2115CA"/>
    <w:rsid w:val="6B421F53"/>
    <w:rsid w:val="6B7455A0"/>
    <w:rsid w:val="6B8175C4"/>
    <w:rsid w:val="6B9F172E"/>
    <w:rsid w:val="6C492AB6"/>
    <w:rsid w:val="6CBB6D74"/>
    <w:rsid w:val="6CF90328"/>
    <w:rsid w:val="6DBD7559"/>
    <w:rsid w:val="6DEC5AC7"/>
    <w:rsid w:val="6DF0368A"/>
    <w:rsid w:val="6E4D2951"/>
    <w:rsid w:val="6EF67A97"/>
    <w:rsid w:val="6EFA3A17"/>
    <w:rsid w:val="6F614FD9"/>
    <w:rsid w:val="6FB10D76"/>
    <w:rsid w:val="6FCE54FF"/>
    <w:rsid w:val="6FE96DA1"/>
    <w:rsid w:val="70A86638"/>
    <w:rsid w:val="70FE56FA"/>
    <w:rsid w:val="70FE623D"/>
    <w:rsid w:val="713734FD"/>
    <w:rsid w:val="71946F08"/>
    <w:rsid w:val="71D2334E"/>
    <w:rsid w:val="71E96DCB"/>
    <w:rsid w:val="726E73F3"/>
    <w:rsid w:val="728B1D53"/>
    <w:rsid w:val="72D337CF"/>
    <w:rsid w:val="73262AA4"/>
    <w:rsid w:val="735261D5"/>
    <w:rsid w:val="73B452D9"/>
    <w:rsid w:val="74542618"/>
    <w:rsid w:val="746B3F63"/>
    <w:rsid w:val="74962C31"/>
    <w:rsid w:val="74B571CB"/>
    <w:rsid w:val="74CA4688"/>
    <w:rsid w:val="74E03EAC"/>
    <w:rsid w:val="750913B6"/>
    <w:rsid w:val="751F6010"/>
    <w:rsid w:val="75721F72"/>
    <w:rsid w:val="766E1FD1"/>
    <w:rsid w:val="767178B3"/>
    <w:rsid w:val="767945B8"/>
    <w:rsid w:val="76C6003E"/>
    <w:rsid w:val="76EC6B38"/>
    <w:rsid w:val="76FA74A7"/>
    <w:rsid w:val="77130586"/>
    <w:rsid w:val="777D351E"/>
    <w:rsid w:val="782920C9"/>
    <w:rsid w:val="78511348"/>
    <w:rsid w:val="78F47459"/>
    <w:rsid w:val="79875528"/>
    <w:rsid w:val="79947FC2"/>
    <w:rsid w:val="79AC2D4E"/>
    <w:rsid w:val="79DD33F6"/>
    <w:rsid w:val="7A1B7E60"/>
    <w:rsid w:val="7A6B0669"/>
    <w:rsid w:val="7A915FF3"/>
    <w:rsid w:val="7AA8721A"/>
    <w:rsid w:val="7AD10285"/>
    <w:rsid w:val="7B404820"/>
    <w:rsid w:val="7B6F1AE6"/>
    <w:rsid w:val="7BD57208"/>
    <w:rsid w:val="7BF2387E"/>
    <w:rsid w:val="7C065352"/>
    <w:rsid w:val="7C617F66"/>
    <w:rsid w:val="7C655DDC"/>
    <w:rsid w:val="7C8D1E53"/>
    <w:rsid w:val="7CAD6D69"/>
    <w:rsid w:val="7CFA6CE6"/>
    <w:rsid w:val="7D3B4375"/>
    <w:rsid w:val="7D721186"/>
    <w:rsid w:val="7DED0568"/>
    <w:rsid w:val="7E8C6F7A"/>
    <w:rsid w:val="7E9C7D1C"/>
    <w:rsid w:val="7FA138B5"/>
    <w:rsid w:val="7FCD7E66"/>
    <w:rsid w:val="7FCF4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next w:val="1"/>
    <w:qFormat/>
    <w:uiPriority w:val="0"/>
    <w:pPr>
      <w:keepNext/>
      <w:keepLines/>
      <w:widowControl w:val="0"/>
      <w:spacing w:before="160" w:after="170" w:line="372" w:lineRule="auto"/>
      <w:jc w:val="both"/>
      <w:outlineLvl w:val="3"/>
    </w:pPr>
    <w:rPr>
      <w:rFonts w:ascii="Arial" w:hAnsi="Arial" w:eastAsia="宋体" w:cs="Times New Roman"/>
      <w:b/>
      <w:kern w:val="2"/>
      <w:sz w:val="28"/>
      <w:szCs w:val="24"/>
      <w:lang w:val="en-US" w:eastAsia="zh-CN" w:bidi="ar-SA"/>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toa heading"/>
    <w:basedOn w:val="1"/>
    <w:next w:val="1"/>
    <w:semiHidden/>
    <w:qFormat/>
    <w:uiPriority w:val="0"/>
    <w:pPr>
      <w:spacing w:before="120"/>
    </w:pPr>
    <w:rPr>
      <w:rFonts w:ascii="Arial" w:hAnsi="Arial"/>
      <w:sz w:val="24"/>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Plain Text"/>
    <w:basedOn w:val="1"/>
    <w:qFormat/>
    <w:uiPriority w:val="0"/>
    <w:rPr>
      <w:rFonts w:ascii="宋体" w:eastAsia="宋体" w:cs="Times New Roman"/>
      <w:kern w:val="0"/>
      <w:sz w:val="20"/>
      <w:szCs w:val="20"/>
    </w:rPr>
  </w:style>
  <w:style w:type="paragraph" w:styleId="10">
    <w:name w:val="Body Text Indent 2"/>
    <w:basedOn w:val="1"/>
    <w:qFormat/>
    <w:uiPriority w:val="0"/>
    <w:pPr>
      <w:ind w:firstLine="420"/>
    </w:pPr>
    <w:rPr>
      <w:sz w:val="28"/>
    </w:rPr>
  </w:style>
  <w:style w:type="paragraph" w:styleId="11">
    <w:name w:val="Balloon Text"/>
    <w:basedOn w:val="1"/>
    <w:next w:val="1"/>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toc 2"/>
    <w:basedOn w:val="1"/>
    <w:next w:val="1"/>
    <w:qFormat/>
    <w:uiPriority w:val="39"/>
    <w:pPr>
      <w:ind w:left="210"/>
      <w:jc w:val="left"/>
    </w:pPr>
    <w:rPr>
      <w:smallCaps/>
      <w:sz w:val="20"/>
      <w:szCs w:val="20"/>
    </w:rPr>
  </w:style>
  <w:style w:type="paragraph" w:styleId="16">
    <w:name w:val="Normal (Web)"/>
    <w:basedOn w:val="1"/>
    <w:qFormat/>
    <w:uiPriority w:val="0"/>
    <w:pPr>
      <w:spacing w:before="100" w:beforeAutospacing="1" w:after="100" w:afterAutospacing="1"/>
      <w:jc w:val="left"/>
    </w:pPr>
    <w:rPr>
      <w:kern w:val="0"/>
      <w:sz w:val="24"/>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99"/>
    <w:rPr>
      <w:color w:val="0000FF"/>
      <w:u w:val="single"/>
    </w:rPr>
  </w:style>
  <w:style w:type="character" w:styleId="22">
    <w:name w:val="annotation reference"/>
    <w:qFormat/>
    <w:uiPriority w:val="0"/>
    <w:rPr>
      <w:sz w:val="21"/>
      <w:szCs w:val="21"/>
    </w:rPr>
  </w:style>
  <w:style w:type="paragraph" w:customStyle="1" w:styleId="23">
    <w:name w:val="样式1/正"/>
    <w:basedOn w:val="8"/>
    <w:qFormat/>
    <w:uiPriority w:val="0"/>
    <w:pPr>
      <w:widowControl/>
      <w:spacing w:after="60"/>
      <w:ind w:left="250" w:leftChars="250"/>
      <w:jc w:val="left"/>
    </w:pPr>
    <w:rPr>
      <w:kern w:val="0"/>
      <w:sz w:val="24"/>
      <w:szCs w:val="28"/>
    </w:rPr>
  </w:style>
  <w:style w:type="paragraph" w:customStyle="1" w:styleId="24">
    <w:name w:val="li_0"/>
    <w:basedOn w:val="1"/>
    <w:qFormat/>
    <w:uiPriority w:val="0"/>
    <w:rPr>
      <w:rFonts w:ascii="宋体" w:hAnsi="宋体" w:eastAsia="宋体" w:cs="宋体"/>
    </w:rPr>
  </w:style>
  <w:style w:type="character" w:customStyle="1" w:styleId="25">
    <w:name w:val="span_0"/>
    <w:basedOn w:val="19"/>
    <w:qFormat/>
    <w:uiPriority w:val="0"/>
    <w:rPr>
      <w:rFonts w:ascii="宋体" w:hAnsi="宋体" w:eastAsia="宋体" w:cs="宋体"/>
    </w:rPr>
  </w:style>
  <w:style w:type="character" w:customStyle="1" w:styleId="26">
    <w:name w:val="15"/>
    <w:qFormat/>
    <w:uiPriority w:val="0"/>
    <w:rPr>
      <w:rFonts w:ascii="Times New Roman" w:hAnsi="Times New Roman"/>
      <w:b/>
    </w:rPr>
  </w:style>
  <w:style w:type="paragraph" w:customStyle="1" w:styleId="27">
    <w:name w:val="方案正文"/>
    <w:basedOn w:val="1"/>
    <w:qFormat/>
    <w:uiPriority w:val="0"/>
    <w:pPr>
      <w:spacing w:before="50" w:beforeLines="50" w:after="50" w:afterLines="50" w:line="360" w:lineRule="auto"/>
      <w:ind w:firstLine="200" w:firstLineChars="200"/>
    </w:pPr>
    <w:rPr>
      <w:sz w:val="24"/>
    </w:rPr>
  </w:style>
  <w:style w:type="paragraph" w:customStyle="1" w:styleId="28">
    <w:name w:val="p_0"/>
    <w:basedOn w:val="1"/>
    <w:qFormat/>
    <w:uiPriority w:val="0"/>
    <w:pPr>
      <w:ind w:firstLine="480"/>
    </w:pPr>
    <w:rPr>
      <w:sz w:val="24"/>
    </w:rPr>
  </w:style>
  <w:style w:type="paragraph" w:customStyle="1" w:styleId="29">
    <w:name w:val="列出段落1"/>
    <w:basedOn w:val="1"/>
    <w:qFormat/>
    <w:uiPriority w:val="0"/>
    <w:pPr>
      <w:ind w:firstLine="200" w:firstLineChars="200"/>
    </w:pPr>
    <w:rPr>
      <w:rFonts w:ascii="Calibri" w:hAnsi="Calibri"/>
    </w:rPr>
  </w:style>
  <w:style w:type="paragraph" w:customStyle="1" w:styleId="3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534</Words>
  <Characters>605</Characters>
  <Lines>115</Lines>
  <Paragraphs>32</Paragraphs>
  <TotalTime>31</TotalTime>
  <ScaleCrop>false</ScaleCrop>
  <LinksUpToDate>false</LinksUpToDate>
  <CharactersWithSpaces>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2024-09-14T04:28:00Z</dcterms:created>
  <dc:creator>Administrator</dc:creator>
  <cp:lastModifiedBy>Jane_小敏</cp:lastModifiedBy>
  <dcterms:modified xsi:type="dcterms:W3CDTF">2025-12-19T01:57:07Z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eyJoZGlkIjoiN2FhMmRlM2M5OTY5Yjg2MDVlNGFkOTNiMzhjNDhmMTUiLCJ1c2VySWQiOiI0MzIxOTMyNzQifQ==</vt:lpwstr>
  </property>
  <property fmtid="{D5CDD505-2E9C-101B-9397-08002B2CF9AE}" pid="4" name="ICV">
    <vt:lpwstr>16F1BE44FFB8485BA1296F642105CA0D_13</vt:lpwstr>
  </property>
</Properties>
</file>